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9655B1">
        <w:rPr>
          <w:rFonts w:ascii="Times New Roman" w:eastAsia="Calibri" w:hAnsi="Times New Roman" w:cs="Times New Roman"/>
          <w:b/>
          <w:bCs/>
          <w:lang w:eastAsia="en-US"/>
        </w:rPr>
        <w:t>UCHWAŁA Nr VIII.</w:t>
      </w:r>
      <w:r w:rsidR="00B55BE2">
        <w:rPr>
          <w:rFonts w:ascii="Times New Roman" w:eastAsia="Calibri" w:hAnsi="Times New Roman" w:cs="Times New Roman"/>
          <w:b/>
          <w:bCs/>
          <w:lang w:eastAsia="en-US"/>
        </w:rPr>
        <w:t>65</w:t>
      </w:r>
      <w:r w:rsidRPr="009655B1">
        <w:rPr>
          <w:rFonts w:ascii="Times New Roman" w:eastAsia="Calibri" w:hAnsi="Times New Roman" w:cs="Times New Roman"/>
          <w:b/>
          <w:bCs/>
          <w:lang w:eastAsia="en-US"/>
        </w:rPr>
        <w:t xml:space="preserve">.2019 </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9655B1">
        <w:rPr>
          <w:rFonts w:ascii="Times New Roman" w:eastAsia="Calibri" w:hAnsi="Times New Roman" w:cs="Times New Roman"/>
          <w:b/>
          <w:bCs/>
          <w:lang w:eastAsia="en-US"/>
        </w:rPr>
        <w:t>RADY GMINY ZŁOTÓW</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9655B1">
        <w:rPr>
          <w:rFonts w:ascii="Times New Roman" w:eastAsia="Calibri" w:hAnsi="Times New Roman" w:cs="Times New Roman"/>
          <w:b/>
          <w:bCs/>
          <w:lang w:eastAsia="en-US"/>
        </w:rPr>
        <w:t xml:space="preserve">z dnia 30 maja 2019 r. </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9655B1">
        <w:rPr>
          <w:rFonts w:ascii="Times New Roman" w:eastAsia="Calibri" w:hAnsi="Times New Roman" w:cs="Times New Roman"/>
          <w:b/>
          <w:bCs/>
          <w:lang w:eastAsia="en-US"/>
        </w:rPr>
        <w:t xml:space="preserve">w sprawie wprowadzenia zmian do uchwały w sprawie uchwalenia </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r w:rsidRPr="009655B1">
        <w:rPr>
          <w:rFonts w:ascii="Times New Roman" w:eastAsia="Calibri" w:hAnsi="Times New Roman" w:cs="Times New Roman"/>
          <w:b/>
          <w:bCs/>
          <w:lang w:eastAsia="en-US"/>
        </w:rPr>
        <w:t xml:space="preserve">Wieloletniej Prognozy Finansowej Gminy Złotów </w:t>
      </w:r>
      <w:r w:rsidRPr="009655B1">
        <w:rPr>
          <w:rFonts w:ascii="Times New Roman" w:eastAsia="Calibri" w:hAnsi="Times New Roman" w:cs="Times New Roman"/>
          <w:b/>
          <w:bCs/>
          <w:lang w:eastAsia="en-US"/>
        </w:rPr>
        <w:br/>
        <w:t>na lata 2019-2026</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b/>
          <w:bCs/>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b/>
          <w:bCs/>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Calibri" w:hAnsi="Times New Roman" w:cs="Times New Roman"/>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lang w:eastAsia="en-US"/>
        </w:rPr>
        <w:tab/>
        <w:t>Na podstawie art. 18 ust. 2 pkt 15 ustawy z dnia 8 marca 1990 r. o samorządzie gminnym (Dz. U. z 201</w:t>
      </w:r>
      <w:r w:rsidR="00101D29">
        <w:rPr>
          <w:rFonts w:ascii="Times New Roman" w:eastAsia="Calibri" w:hAnsi="Times New Roman" w:cs="Times New Roman"/>
          <w:lang w:eastAsia="en-US"/>
        </w:rPr>
        <w:t>9</w:t>
      </w:r>
      <w:r w:rsidRPr="009655B1">
        <w:rPr>
          <w:rFonts w:ascii="Times New Roman" w:eastAsia="Calibri" w:hAnsi="Times New Roman" w:cs="Times New Roman"/>
          <w:lang w:eastAsia="en-US"/>
        </w:rPr>
        <w:t xml:space="preserve"> r. poz. </w:t>
      </w:r>
      <w:r w:rsidR="00101D29">
        <w:rPr>
          <w:rFonts w:ascii="Times New Roman" w:eastAsia="Calibri" w:hAnsi="Times New Roman" w:cs="Times New Roman"/>
          <w:lang w:eastAsia="en-US"/>
        </w:rPr>
        <w:t>506</w:t>
      </w:r>
      <w:r w:rsidRPr="009655B1">
        <w:rPr>
          <w:rFonts w:ascii="Times New Roman" w:eastAsia="Calibri" w:hAnsi="Times New Roman" w:cs="Times New Roman"/>
          <w:lang w:eastAsia="en-US"/>
        </w:rPr>
        <w:t>) oraz art. 226, 227, 228, 230 ust. 6 ustawy z dnia 27 sierpnia 2009 r.</w:t>
      </w:r>
      <w:r>
        <w:rPr>
          <w:rFonts w:ascii="Times New Roman" w:eastAsia="Calibri" w:hAnsi="Times New Roman" w:cs="Times New Roman"/>
          <w:lang w:eastAsia="en-US"/>
        </w:rPr>
        <w:t xml:space="preserve"> </w:t>
      </w:r>
      <w:r w:rsidR="00101D29">
        <w:rPr>
          <w:rFonts w:ascii="Times New Roman" w:eastAsia="Calibri" w:hAnsi="Times New Roman" w:cs="Times New Roman"/>
          <w:lang w:eastAsia="en-US"/>
        </w:rPr>
        <w:t xml:space="preserve">                  </w:t>
      </w:r>
      <w:r w:rsidRPr="009655B1">
        <w:rPr>
          <w:rFonts w:ascii="Times New Roman" w:eastAsia="Calibri" w:hAnsi="Times New Roman" w:cs="Times New Roman"/>
          <w:lang w:eastAsia="en-US"/>
        </w:rPr>
        <w:t>o finansach publicznych (Dz. U. z 201</w:t>
      </w:r>
      <w:r w:rsidR="00101D29">
        <w:rPr>
          <w:rFonts w:ascii="Times New Roman" w:eastAsia="Calibri" w:hAnsi="Times New Roman" w:cs="Times New Roman"/>
          <w:lang w:eastAsia="en-US"/>
        </w:rPr>
        <w:t>9</w:t>
      </w:r>
      <w:r w:rsidRPr="009655B1">
        <w:rPr>
          <w:rFonts w:ascii="Times New Roman" w:eastAsia="Calibri" w:hAnsi="Times New Roman" w:cs="Times New Roman"/>
          <w:lang w:eastAsia="en-US"/>
        </w:rPr>
        <w:t xml:space="preserve"> r. poz. </w:t>
      </w:r>
      <w:r w:rsidR="00101D29">
        <w:rPr>
          <w:rFonts w:ascii="Times New Roman" w:eastAsia="Calibri" w:hAnsi="Times New Roman" w:cs="Times New Roman"/>
          <w:lang w:eastAsia="en-US"/>
        </w:rPr>
        <w:t>869</w:t>
      </w:r>
      <w:r w:rsidRPr="009655B1">
        <w:rPr>
          <w:rFonts w:ascii="Times New Roman" w:eastAsia="Calibri" w:hAnsi="Times New Roman" w:cs="Times New Roman"/>
          <w:lang w:eastAsia="en-US"/>
        </w:rPr>
        <w:t xml:space="preserve"> z </w:t>
      </w:r>
      <w:proofErr w:type="spellStart"/>
      <w:r w:rsidRPr="009655B1">
        <w:rPr>
          <w:rFonts w:ascii="Times New Roman" w:eastAsia="Calibri" w:hAnsi="Times New Roman" w:cs="Times New Roman"/>
          <w:lang w:eastAsia="en-US"/>
        </w:rPr>
        <w:t>późn</w:t>
      </w:r>
      <w:proofErr w:type="spellEnd"/>
      <w:r w:rsidRPr="009655B1">
        <w:rPr>
          <w:rFonts w:ascii="Times New Roman" w:eastAsia="Calibri" w:hAnsi="Times New Roman" w:cs="Times New Roman"/>
          <w:lang w:eastAsia="en-US"/>
        </w:rPr>
        <w:t xml:space="preserve">. zm.) Rada Gminy Złotów uchwala, </w:t>
      </w:r>
      <w:r w:rsidR="00101D29">
        <w:rPr>
          <w:rFonts w:ascii="Times New Roman" w:eastAsia="Calibri" w:hAnsi="Times New Roman" w:cs="Times New Roman"/>
          <w:lang w:eastAsia="en-US"/>
        </w:rPr>
        <w:t xml:space="preserve">              </w:t>
      </w:r>
      <w:r w:rsidRPr="009655B1">
        <w:rPr>
          <w:rFonts w:ascii="Times New Roman" w:eastAsia="Calibri" w:hAnsi="Times New Roman" w:cs="Times New Roman"/>
          <w:lang w:eastAsia="en-US"/>
        </w:rPr>
        <w:t>co następuje:</w:t>
      </w:r>
    </w:p>
    <w:p w:rsidR="009655B1" w:rsidRPr="009655B1" w:rsidRDefault="009655B1" w:rsidP="009655B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b/>
          <w:bCs/>
          <w:lang w:eastAsia="en-US"/>
        </w:rPr>
      </w:pPr>
    </w:p>
    <w:p w:rsidR="009655B1" w:rsidRPr="009655B1" w:rsidRDefault="009655B1" w:rsidP="009655B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lang w:eastAsia="en-US"/>
        </w:rPr>
        <w:t xml:space="preserve">W uchwale Nr III.19.2018 Rady Gminy Złotów z dnia 27 grudnia 2018 r. w sprawie uchwalenia Wieloletniej Prognozy Finansowej na lata 2019-2026, zmienionej uchwałą Rady Gminy Złotów </w:t>
      </w:r>
      <w:r w:rsidRPr="009655B1">
        <w:rPr>
          <w:rFonts w:ascii="Times New Roman" w:eastAsia="Calibri" w:hAnsi="Times New Roman" w:cs="Times New Roman"/>
          <w:lang w:eastAsia="en-US"/>
        </w:rPr>
        <w:br/>
        <w:t xml:space="preserve">Nr IV.25.2019 z dnia 31 </w:t>
      </w:r>
      <w:r w:rsidR="00101D29">
        <w:rPr>
          <w:rFonts w:ascii="Times New Roman" w:eastAsia="Calibri" w:hAnsi="Times New Roman" w:cs="Times New Roman"/>
          <w:lang w:eastAsia="en-US"/>
        </w:rPr>
        <w:t xml:space="preserve">stycznia 2019 r., </w:t>
      </w:r>
      <w:r w:rsidRPr="009655B1">
        <w:rPr>
          <w:rFonts w:ascii="Times New Roman" w:eastAsia="Calibri" w:hAnsi="Times New Roman" w:cs="Times New Roman"/>
          <w:lang w:eastAsia="en-US"/>
        </w:rPr>
        <w:t>Nr V.32.2019 z dnia 26 lutego 2019 r., Nr VI.40.2019                z dnia 28 marca 2019 r. oraz Nr VII.50.2019 z dnia 25 kwietnia 2019 r. wprowadza się zmiany:</w:t>
      </w:r>
    </w:p>
    <w:p w:rsidR="009655B1" w:rsidRPr="009655B1" w:rsidRDefault="009655B1" w:rsidP="009655B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p>
    <w:p w:rsidR="009655B1" w:rsidRPr="009655B1" w:rsidRDefault="009655B1" w:rsidP="009655B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b/>
          <w:bCs/>
          <w:lang w:eastAsia="en-US"/>
        </w:rPr>
        <w:t xml:space="preserve">      § 1.</w:t>
      </w:r>
      <w:r w:rsidRPr="009655B1">
        <w:rPr>
          <w:rFonts w:ascii="Times New Roman" w:eastAsia="Calibri" w:hAnsi="Times New Roman" w:cs="Times New Roman"/>
          <w:lang w:eastAsia="en-US"/>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b/>
          <w:bCs/>
          <w:lang w:eastAsia="en-US"/>
        </w:rPr>
        <w:t xml:space="preserve">     § 2. </w:t>
      </w:r>
      <w:r w:rsidRPr="009655B1">
        <w:rPr>
          <w:rFonts w:ascii="Times New Roman" w:eastAsia="Calibri" w:hAnsi="Times New Roman" w:cs="Times New Roman"/>
          <w:lang w:eastAsia="en-US"/>
        </w:rPr>
        <w:t>Załącznik Nr 2 do uchwały, stanowiący wykaz wieloletnich przedsięwzięć finansowych otrzymuje brzmienie, zgodnie z załącznikiem Nr 2 do niniejszej uchwały.</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b/>
          <w:bCs/>
          <w:lang w:eastAsia="en-US"/>
        </w:rPr>
        <w:t xml:space="preserve">     § 3. </w:t>
      </w:r>
      <w:r w:rsidRPr="009655B1">
        <w:rPr>
          <w:rFonts w:ascii="Times New Roman" w:eastAsia="Calibri" w:hAnsi="Times New Roman" w:cs="Times New Roman"/>
          <w:lang w:eastAsia="en-US"/>
        </w:rPr>
        <w:t xml:space="preserve">Wykonanie uchwały powierza się Wójtowi Gminy Złotów. </w:t>
      </w: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p>
    <w:p w:rsidR="009655B1" w:rsidRPr="009655B1" w:rsidRDefault="009655B1" w:rsidP="00965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en-US"/>
        </w:rPr>
      </w:pPr>
      <w:r w:rsidRPr="009655B1">
        <w:rPr>
          <w:rFonts w:ascii="Times New Roman" w:eastAsia="Calibri" w:hAnsi="Times New Roman" w:cs="Times New Roman"/>
          <w:b/>
          <w:bCs/>
          <w:lang w:eastAsia="en-US"/>
        </w:rPr>
        <w:t xml:space="preserve">     § 4.</w:t>
      </w:r>
      <w:r w:rsidRPr="009655B1">
        <w:rPr>
          <w:rFonts w:ascii="Times New Roman" w:eastAsia="Calibri" w:hAnsi="Times New Roman" w:cs="Times New Roman"/>
          <w:lang w:eastAsia="en-US"/>
        </w:rPr>
        <w:t xml:space="preserve"> Uchwała wchodzi w życie z dniem podjęcia.</w:t>
      </w:r>
    </w:p>
    <w:p w:rsidR="009655B1" w:rsidRPr="009655B1" w:rsidRDefault="009655B1" w:rsidP="009655B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eastAsia="Calibri" w:hAnsi="Times New Roman" w:cs="Times New Roman"/>
          <w:lang w:eastAsia="en-US"/>
        </w:rPr>
      </w:pPr>
    </w:p>
    <w:p w:rsidR="009655B1" w:rsidRPr="009655B1" w:rsidRDefault="009655B1" w:rsidP="009655B1">
      <w:pPr>
        <w:rPr>
          <w:rFonts w:ascii="Calibri" w:eastAsia="Calibri" w:hAnsi="Calibri" w:cs="Times New Roman"/>
          <w:lang w:eastAsia="en-US"/>
        </w:rPr>
      </w:pPr>
    </w:p>
    <w:p w:rsidR="009655B1" w:rsidRPr="009655B1" w:rsidRDefault="009655B1" w:rsidP="009655B1">
      <w:pPr>
        <w:rPr>
          <w:rFonts w:ascii="Calibri" w:eastAsia="Calibri" w:hAnsi="Calibri" w:cs="Times New Roman"/>
          <w:lang w:eastAsia="en-US"/>
        </w:rPr>
      </w:pPr>
    </w:p>
    <w:p w:rsidR="009655B1" w:rsidRDefault="009655B1" w:rsidP="000C0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en-US"/>
        </w:rPr>
      </w:pPr>
    </w:p>
    <w:p w:rsidR="00371954" w:rsidRDefault="00371954"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9E3327" w:rsidRDefault="009E3327" w:rsidP="009E3327">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42A3E">
        <w:rPr>
          <w:rFonts w:ascii="Times New Roman" w:eastAsiaTheme="minorHAnsi" w:hAnsi="Times New Roman" w:cs="Times New Roman"/>
          <w:b/>
          <w:lang w:eastAsia="en-US"/>
        </w:rPr>
        <w:t>1</w:t>
      </w:r>
      <w:r w:rsidR="00CE496B">
        <w:rPr>
          <w:rFonts w:ascii="Times New Roman" w:eastAsiaTheme="minorHAnsi" w:hAnsi="Times New Roman" w:cs="Times New Roman"/>
          <w:b/>
          <w:lang w:eastAsia="en-US"/>
        </w:rPr>
        <w:t xml:space="preserve"> do uchwały Nr </w:t>
      </w:r>
      <w:r w:rsidR="00FD5D44">
        <w:rPr>
          <w:rFonts w:ascii="Times New Roman" w:eastAsiaTheme="minorHAnsi" w:hAnsi="Times New Roman" w:cs="Times New Roman"/>
          <w:b/>
          <w:lang w:eastAsia="en-US"/>
        </w:rPr>
        <w:t>V</w:t>
      </w:r>
      <w:r w:rsidR="00371954">
        <w:rPr>
          <w:rFonts w:ascii="Times New Roman" w:eastAsiaTheme="minorHAnsi" w:hAnsi="Times New Roman" w:cs="Times New Roman"/>
          <w:b/>
          <w:lang w:eastAsia="en-US"/>
        </w:rPr>
        <w:t>I</w:t>
      </w:r>
      <w:r w:rsidR="009655B1">
        <w:rPr>
          <w:rFonts w:ascii="Times New Roman" w:eastAsiaTheme="minorHAnsi" w:hAnsi="Times New Roman" w:cs="Times New Roman"/>
          <w:b/>
          <w:lang w:eastAsia="en-US"/>
        </w:rPr>
        <w:t>I</w:t>
      </w:r>
      <w:r w:rsidR="000C02D0">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B55BE2">
        <w:rPr>
          <w:rFonts w:ascii="Times New Roman" w:eastAsiaTheme="minorHAnsi" w:hAnsi="Times New Roman" w:cs="Times New Roman"/>
          <w:b/>
          <w:lang w:eastAsia="en-US"/>
        </w:rPr>
        <w:t>65</w:t>
      </w:r>
      <w:r w:rsidR="00CE496B">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FD5D44">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9655B1">
        <w:rPr>
          <w:rFonts w:ascii="Times New Roman" w:eastAsiaTheme="minorHAnsi" w:hAnsi="Times New Roman" w:cs="Times New Roman"/>
          <w:b/>
          <w:lang w:eastAsia="en-US"/>
        </w:rPr>
        <w:t>30 maja</w:t>
      </w:r>
      <w:r w:rsidR="005E1AFD">
        <w:rPr>
          <w:rFonts w:ascii="Times New Roman" w:eastAsiaTheme="minorHAnsi" w:hAnsi="Times New Roman" w:cs="Times New Roman"/>
          <w:b/>
          <w:lang w:eastAsia="en-US"/>
        </w:rPr>
        <w:t xml:space="preserve"> </w:t>
      </w:r>
      <w:r w:rsidR="00FD5D44">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FD5D44">
        <w:rPr>
          <w:rFonts w:ascii="Times New Roman" w:eastAsiaTheme="minorHAnsi" w:hAnsi="Times New Roman" w:cs="Times New Roman"/>
          <w:b/>
          <w:lang w:eastAsia="en-US"/>
        </w:rPr>
        <w:t xml:space="preserve">wprowadzenia zmian do uchwały </w:t>
      </w:r>
      <w:r w:rsidR="00FD5D44">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9E3327" w:rsidRDefault="009E3327" w:rsidP="00305EA7">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E741B" w:rsidRPr="000C60B9" w:rsidTr="000C60B9">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E741B" w:rsidRPr="000C60B9" w:rsidTr="000C60B9">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w:t>
            </w:r>
            <w:r w:rsidR="00CF2622">
              <w:rPr>
                <w:rFonts w:ascii="Times New Roman" w:hAnsi="Times New Roman" w:cs="Times New Roman"/>
                <w:sz w:val="14"/>
                <w:szCs w:val="14"/>
              </w:rPr>
              <w:t> 810 023,43</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42</w:t>
            </w:r>
            <w:r w:rsidR="00CF2622">
              <w:rPr>
                <w:rFonts w:ascii="Times New Roman" w:hAnsi="Times New Roman" w:cs="Times New Roman"/>
                <w:sz w:val="14"/>
                <w:szCs w:val="14"/>
              </w:rPr>
              <w:t> 185 071,04</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w:t>
            </w:r>
            <w:r w:rsidR="00CF2622">
              <w:rPr>
                <w:rFonts w:ascii="Times New Roman" w:hAnsi="Times New Roman" w:cs="Times New Roman"/>
                <w:sz w:val="14"/>
                <w:szCs w:val="14"/>
              </w:rPr>
              <w:t> 066 832,60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CF2622">
              <w:rPr>
                <w:rFonts w:ascii="Times New Roman" w:hAnsi="Times New Roman" w:cs="Times New Roman"/>
                <w:sz w:val="14"/>
                <w:szCs w:val="14"/>
              </w:rPr>
              <w:t> 710 602</w:t>
            </w:r>
            <w:r>
              <w:rPr>
                <w:rFonts w:ascii="Times New Roman" w:hAnsi="Times New Roman" w:cs="Times New Roman"/>
                <w:sz w:val="14"/>
                <w:szCs w:val="14"/>
              </w:rPr>
              <w:t>,00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16 127 306,00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w:t>
            </w:r>
            <w:r w:rsidR="00CF2622">
              <w:rPr>
                <w:rFonts w:ascii="Times New Roman" w:hAnsi="Times New Roman" w:cs="Times New Roman"/>
                <w:sz w:val="14"/>
                <w:szCs w:val="14"/>
              </w:rPr>
              <w:t> 804 376,44</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3 624 952,39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55447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sidR="00554471">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E741B" w:rsidRPr="000C60B9" w:rsidTr="00AE741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7504F"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49</w:t>
            </w:r>
            <w:r w:rsidR="00CF2622">
              <w:rPr>
                <w:rFonts w:ascii="Times New Roman" w:hAnsi="Times New Roman" w:cs="Times New Roman"/>
                <w:sz w:val="14"/>
                <w:szCs w:val="14"/>
              </w:rPr>
              <w:t> 450 286,91</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3E145E"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37</w:t>
            </w:r>
            <w:r w:rsidR="00CF2622">
              <w:rPr>
                <w:rFonts w:ascii="Times New Roman" w:hAnsi="Times New Roman" w:cs="Times New Roman"/>
                <w:sz w:val="14"/>
                <w:szCs w:val="14"/>
              </w:rPr>
              <w:t> 165 889,07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E47C3F"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3E145E"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w:t>
            </w:r>
            <w:r w:rsidR="00CF2622">
              <w:rPr>
                <w:rFonts w:ascii="Times New Roman" w:hAnsi="Times New Roman" w:cs="Times New Roman"/>
                <w:sz w:val="14"/>
                <w:szCs w:val="14"/>
              </w:rPr>
              <w:t> 284 397,84</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A57604">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A57604">
              <w:rPr>
                <w:rFonts w:ascii="Times New Roman" w:hAnsi="Times New Roman" w:cs="Times New Roman"/>
                <w:sz w:val="14"/>
                <w:szCs w:val="14"/>
              </w:rPr>
              <w:t>4</w:t>
            </w:r>
            <w:r>
              <w:rPr>
                <w:rFonts w:ascii="Times New Roman" w:hAnsi="Times New Roman" w:cs="Times New Roman"/>
                <w:sz w:val="14"/>
                <w:szCs w:val="14"/>
              </w:rPr>
              <w:t>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Pr="008672A5"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0C60B9" w:rsidRDefault="000C60B9"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E741B" w:rsidRPr="000C60B9" w:rsidTr="00AE741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AE741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E741B" w:rsidRPr="000C60B9" w:rsidTr="00AE741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B20661" w:rsidP="003E145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w:t>
            </w:r>
            <w:r w:rsidR="003E145E">
              <w:rPr>
                <w:rFonts w:ascii="Times New Roman" w:hAnsi="Times New Roman" w:cs="Times New Roman"/>
                <w:sz w:val="14"/>
                <w:szCs w:val="14"/>
              </w:rPr>
              <w:t> 640 263,48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E145E" w:rsidP="000D0A6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E145E"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E145E"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FD5D44">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 xml:space="preserve">2 </w:t>
            </w:r>
            <w:r w:rsidR="00FD5D44">
              <w:rPr>
                <w:rFonts w:ascii="Times New Roman" w:hAnsi="Times New Roman" w:cs="Times New Roman"/>
                <w:sz w:val="14"/>
                <w:szCs w:val="14"/>
              </w:rPr>
              <w:t>0</w:t>
            </w:r>
            <w:r w:rsidRPr="000C60B9">
              <w:rPr>
                <w:rFonts w:ascii="Times New Roman" w:hAnsi="Times New Roman" w:cs="Times New Roman"/>
                <w:sz w:val="14"/>
                <w:szCs w:val="14"/>
              </w:rPr>
              <w:t>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w:t>
            </w:r>
            <w:r w:rsidR="002B7423">
              <w:rPr>
                <w:rFonts w:ascii="Times New Roman" w:hAnsi="Times New Roman" w:cs="Times New Roman"/>
                <w:sz w:val="14"/>
                <w:szCs w:val="14"/>
              </w:rPr>
              <w:t> </w:t>
            </w:r>
            <w:r>
              <w:rPr>
                <w:rFonts w:ascii="Times New Roman" w:hAnsi="Times New Roman" w:cs="Times New Roman"/>
                <w:sz w:val="14"/>
                <w:szCs w:val="14"/>
              </w:rPr>
              <w:t>630</w:t>
            </w:r>
            <w:r w:rsidR="002B7423">
              <w:rPr>
                <w:rFonts w:ascii="Times New Roman" w:hAnsi="Times New Roman" w:cs="Times New Roman"/>
                <w:sz w:val="14"/>
                <w:szCs w:val="14"/>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E741B" w:rsidRPr="00B50FCA" w:rsidTr="00AE741B">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w:t>
            </w:r>
            <w:r w:rsidR="00B50FCA" w:rsidRPr="00B50FCA">
              <w:rPr>
                <w:rFonts w:ascii="Times New Roman" w:hAnsi="Times New Roman" w:cs="Times New Roman"/>
                <w:sz w:val="14"/>
                <w:szCs w:val="14"/>
              </w:rPr>
              <w:t>,00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Default="00B50FCA"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E741B" w:rsidRPr="00B50FCA" w:rsidTr="00AE741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E741B" w:rsidRPr="00B50FCA" w:rsidTr="00AE741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E741B" w:rsidRPr="00B50FCA" w:rsidTr="00AE741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proofErr w:type="spellStart"/>
            <w:r w:rsidRPr="00B50FCA">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11 295 500,00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3E145E"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w:t>
            </w:r>
            <w:r w:rsidR="00CF2622">
              <w:rPr>
                <w:rFonts w:ascii="Times New Roman" w:hAnsi="Times New Roman" w:cs="Times New Roman"/>
                <w:sz w:val="14"/>
                <w:szCs w:val="14"/>
              </w:rPr>
              <w:t> 019 181,97</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3E145E" w:rsidP="00CF262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w:t>
            </w:r>
            <w:r w:rsidR="00CF2622">
              <w:rPr>
                <w:rFonts w:ascii="Times New Roman" w:hAnsi="Times New Roman" w:cs="Times New Roman"/>
                <w:sz w:val="14"/>
                <w:szCs w:val="14"/>
              </w:rPr>
              <w:t> 539 337,73</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7 605 500,00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4 230 000,00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2 600 000,00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624463" w:rsidRPr="008672A5" w:rsidRDefault="00624463"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E741B" w:rsidRPr="00771237" w:rsidTr="00AE741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E741B" w:rsidRPr="00771237" w:rsidTr="00AE741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t xml:space="preserve">wyłączeń,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AE741B" w:rsidRPr="00771237" w:rsidTr="00AE741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0910BB">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CF2622">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w:t>
            </w:r>
            <w:r w:rsidR="003E145E">
              <w:rPr>
                <w:rFonts w:ascii="Times New Roman" w:hAnsi="Times New Roman" w:cs="Times New Roman"/>
                <w:sz w:val="14"/>
                <w:szCs w:val="14"/>
              </w:rPr>
              <w:t>7</w:t>
            </w:r>
            <w:r w:rsidR="00CF2622">
              <w:rPr>
                <w:rFonts w:ascii="Times New Roman" w:hAnsi="Times New Roman" w:cs="Times New Roman"/>
                <w:sz w:val="14"/>
                <w:szCs w:val="14"/>
              </w:rPr>
              <w:t>6</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E145E" w:rsidP="00647E56">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3,53</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w:t>
            </w:r>
            <w:r w:rsidR="003E145E">
              <w:rPr>
                <w:rFonts w:ascii="Times New Roman" w:hAnsi="Times New Roman" w:cs="Times New Roman"/>
                <w:sz w:val="14"/>
                <w:szCs w:val="14"/>
              </w:rPr>
              <w:t>53</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CF2622">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11,3</w:t>
            </w:r>
            <w:r w:rsidR="00CF2622">
              <w:rPr>
                <w:rFonts w:ascii="Times New Roman" w:hAnsi="Times New Roman" w:cs="Times New Roman"/>
                <w:sz w:val="14"/>
                <w:szCs w:val="14"/>
              </w:rPr>
              <w:t>6</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13,47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4,92</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15,48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w:t>
            </w:r>
            <w:r w:rsidR="00655E13">
              <w:rPr>
                <w:rFonts w:ascii="Times New Roman" w:hAnsi="Times New Roman" w:cs="Times New Roman"/>
                <w:sz w:val="14"/>
                <w:szCs w:val="14"/>
              </w:rPr>
              <w:t>0</w:t>
            </w:r>
            <w:r>
              <w:rPr>
                <w:rFonts w:ascii="Times New Roman" w:hAnsi="Times New Roman" w:cs="Times New Roman"/>
                <w:sz w:val="14"/>
                <w:szCs w:val="14"/>
              </w:rPr>
              <w:t>,</w:t>
            </w:r>
            <w:r w:rsidR="00340AAF">
              <w:rPr>
                <w:rFonts w:ascii="Times New Roman" w:hAnsi="Times New Roman" w:cs="Times New Roman"/>
                <w:sz w:val="14"/>
                <w:szCs w:val="14"/>
              </w:rPr>
              <w:t>6</w:t>
            </w:r>
            <w:r w:rsidR="003E145E">
              <w:rPr>
                <w:rFonts w:ascii="Times New Roman" w:hAnsi="Times New Roman" w:cs="Times New Roman"/>
                <w:sz w:val="14"/>
                <w:szCs w:val="14"/>
              </w:rPr>
              <w:t>7</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12,6</w:t>
            </w:r>
            <w:r w:rsidR="003E145E">
              <w:rPr>
                <w:rFonts w:ascii="Times New Roman" w:hAnsi="Times New Roman" w:cs="Times New Roman"/>
                <w:sz w:val="14"/>
                <w:szCs w:val="14"/>
              </w:rPr>
              <w:t>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11,7</w:t>
            </w:r>
            <w:r w:rsidR="003E145E">
              <w:rPr>
                <w:rFonts w:ascii="Times New Roman" w:hAnsi="Times New Roman" w:cs="Times New Roman"/>
                <w:sz w:val="14"/>
                <w:szCs w:val="14"/>
              </w:rPr>
              <w:t>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13,7</w:t>
            </w:r>
            <w:r w:rsidR="003E145E">
              <w:rPr>
                <w:rFonts w:ascii="Times New Roman" w:hAnsi="Times New Roman" w:cs="Times New Roman"/>
                <w:sz w:val="14"/>
                <w:szCs w:val="14"/>
              </w:rPr>
              <w:t>8</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w:t>
            </w:r>
            <w:r w:rsidR="003E145E">
              <w:rPr>
                <w:rFonts w:ascii="Times New Roman" w:hAnsi="Times New Roman" w:cs="Times New Roman"/>
                <w:sz w:val="14"/>
                <w:szCs w:val="14"/>
              </w:rPr>
              <w:t>60</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340AAF" w:rsidP="003E145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w:t>
            </w:r>
            <w:r w:rsidR="003E145E">
              <w:rPr>
                <w:rFonts w:ascii="Times New Roman" w:hAnsi="Times New Roman" w:cs="Times New Roman"/>
                <w:sz w:val="14"/>
                <w:szCs w:val="14"/>
              </w:rPr>
              <w:t>60</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E741B" w:rsidRPr="00771237" w:rsidTr="000910BB">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E741B" w:rsidRPr="00771237" w:rsidTr="000910BB">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E741B" w:rsidRPr="00771237" w:rsidTr="000910BB">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E741B" w:rsidRPr="00771237" w:rsidRDefault="00AE741B" w:rsidP="00AE741B">
            <w:pPr>
              <w:spacing w:after="0" w:line="240" w:lineRule="auto"/>
              <w:rPr>
                <w:rFonts w:ascii="Times New Roman" w:eastAsia="Times New Roman" w:hAnsi="Times New Roman" w:cs="Times New Roman"/>
                <w:sz w:val="14"/>
                <w:szCs w:val="14"/>
              </w:rPr>
            </w:pPr>
          </w:p>
        </w:tc>
      </w:tr>
      <w:tr w:rsidR="00AE741B"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771237" w:rsidRPr="00771237">
              <w:rPr>
                <w:rFonts w:ascii="Times New Roman" w:eastAsia="Times New Roman" w:hAnsi="Times New Roman" w:cs="Times New Roman"/>
                <w:color w:val="000000"/>
                <w:sz w:val="14"/>
                <w:szCs w:val="14"/>
              </w:rPr>
              <w:t>.</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771237"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B717A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13 546 700,59</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B717A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3 830 236,00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B717A8" w:rsidP="00CC1F5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w:t>
            </w:r>
            <w:r w:rsidR="00CC1F57">
              <w:rPr>
                <w:rFonts w:ascii="Times New Roman" w:hAnsi="Times New Roman" w:cs="Times New Roman"/>
                <w:sz w:val="14"/>
                <w:szCs w:val="14"/>
              </w:rPr>
              <w:t> 648 823,78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340AAF"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597 052,00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B717A8" w:rsidP="00CC1F5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w:t>
            </w:r>
            <w:r w:rsidR="00CC1F57">
              <w:rPr>
                <w:rFonts w:ascii="Times New Roman" w:hAnsi="Times New Roman" w:cs="Times New Roman"/>
                <w:sz w:val="14"/>
                <w:szCs w:val="14"/>
              </w:rPr>
              <w:t> 051 771,78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B717A8" w:rsidP="00CC1F5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w:t>
            </w:r>
            <w:r w:rsidR="00CC1F57">
              <w:rPr>
                <w:rFonts w:ascii="Times New Roman" w:hAnsi="Times New Roman" w:cs="Times New Roman"/>
                <w:sz w:val="14"/>
                <w:szCs w:val="14"/>
              </w:rPr>
              <w:t> 051 771,78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B717A8" w:rsidP="00763C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3 013 626,06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219 000,00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11 526,00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11 526,00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D328A0">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7 726,00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7 726,00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340AAF"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0AAF" w:rsidRPr="00771237" w:rsidRDefault="00340AAF"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5 216,00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2E5D56">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5 216,00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340AAF" w:rsidRPr="00771237" w:rsidRDefault="00340AAF"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sidR="00771237">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E741B" w:rsidRPr="000910BB" w:rsidTr="00DD1233">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r w:rsidR="000910BB" w:rsidRPr="000910BB">
              <w:rPr>
                <w:rFonts w:ascii="Times New Roman" w:eastAsia="Times New Roman" w:hAnsi="Times New Roman" w:cs="Times New Roman"/>
                <w:color w:val="000000"/>
                <w:sz w:val="14"/>
                <w:szCs w:val="14"/>
              </w:rPr>
              <w:t>.</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416335"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E741B" w:rsidRPr="00DD1233" w:rsidTr="00AE741B">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E741B" w:rsidRPr="00DD1233" w:rsidTr="00AE741B">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E741B" w:rsidRPr="00DD1233" w:rsidTr="00AE741B">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E741B" w:rsidRPr="00DD1233" w:rsidTr="00AE741B">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r w:rsidR="00DD1233" w:rsidRPr="00DD1233">
              <w:rPr>
                <w:rFonts w:ascii="Times New Roman" w:eastAsia="Times New Roman" w:hAnsi="Times New Roman" w:cs="Times New Roman"/>
                <w:color w:val="000000"/>
                <w:sz w:val="14"/>
                <w:szCs w:val="14"/>
              </w:rPr>
              <w:t>.</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554471" w:rsidP="00DD1233">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Pr="008672A5" w:rsidRDefault="00DD1233" w:rsidP="00AE741B">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E741B" w:rsidRPr="0021707C" w:rsidTr="00AE741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E741B" w:rsidRPr="0021707C" w:rsidTr="00AE741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E741B" w:rsidRPr="0021707C" w:rsidTr="00AE741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r>
      <w:tr w:rsidR="00AE741B" w:rsidRPr="0021707C" w:rsidTr="00AE741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21707C" w:rsidRPr="0021707C">
              <w:rPr>
                <w:rFonts w:ascii="Times New Roman" w:eastAsia="Times New Roman" w:hAnsi="Times New Roman" w:cs="Times New Roman"/>
                <w:color w:val="000000"/>
                <w:sz w:val="14"/>
                <w:szCs w:val="14"/>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Pr="008672A5" w:rsidRDefault="0021707C"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E741B" w:rsidRPr="0021707C" w:rsidTr="00AE741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E741B" w:rsidRPr="0021707C" w:rsidTr="00AE741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E741B" w:rsidRPr="0021707C" w:rsidTr="00AE741B">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r>
      <w:tr w:rsidR="00AE741B" w:rsidRPr="0021707C" w:rsidTr="00AE741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56567E">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884ED5">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w:t>
            </w:r>
            <w:r w:rsidR="00884ED5">
              <w:rPr>
                <w:rFonts w:ascii="Times New Roman" w:hAnsi="Times New Roman" w:cs="Times New Roman"/>
                <w:sz w:val="14"/>
                <w:szCs w:val="14"/>
              </w:rPr>
              <w:t>30</w:t>
            </w:r>
            <w:r>
              <w:rPr>
                <w:rFonts w:ascii="Times New Roman" w:hAnsi="Times New Roman" w:cs="Times New Roman"/>
                <w:sz w:val="14"/>
                <w:szCs w:val="14"/>
              </w:rPr>
              <w:t> </w:t>
            </w:r>
            <w:r w:rsidR="00884ED5">
              <w:rPr>
                <w:rFonts w:ascii="Times New Roman" w:hAnsi="Times New Roman" w:cs="Times New Roman"/>
                <w:sz w:val="14"/>
                <w:szCs w:val="14"/>
              </w:rPr>
              <w:t>0</w:t>
            </w:r>
            <w:r>
              <w:rPr>
                <w:rFonts w:ascii="Times New Roman" w:hAnsi="Times New Roman" w:cs="Times New Roman"/>
                <w:sz w:val="14"/>
                <w:szCs w:val="14"/>
              </w:rPr>
              <w:t>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w:t>
      </w:r>
      <w:r w:rsidR="007974E8">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sidR="007974E8">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sidR="007974E8">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9E3327" w:rsidRDefault="009E3327" w:rsidP="00305EA7">
      <w:pPr>
        <w:spacing w:after="0" w:line="240" w:lineRule="auto"/>
        <w:rPr>
          <w:rFonts w:ascii="Times New Roman" w:eastAsia="Times New Roman" w:hAnsi="Times New Roman" w:cs="Times New Roman"/>
          <w:b/>
          <w:bCs/>
          <w:iCs/>
          <w:color w:val="000000"/>
        </w:rPr>
      </w:pPr>
    </w:p>
    <w:p w:rsidR="009E3327" w:rsidRDefault="009E3327"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D1894">
        <w:rPr>
          <w:rFonts w:ascii="Times New Roman" w:eastAsiaTheme="minorHAnsi" w:hAnsi="Times New Roman" w:cs="Times New Roman"/>
          <w:b/>
          <w:lang w:eastAsia="en-US"/>
        </w:rPr>
        <w:t xml:space="preserve">2 do uchwały Nr </w:t>
      </w:r>
      <w:r w:rsidR="005E7DAF">
        <w:rPr>
          <w:rFonts w:ascii="Times New Roman" w:eastAsiaTheme="minorHAnsi" w:hAnsi="Times New Roman" w:cs="Times New Roman"/>
          <w:b/>
          <w:lang w:eastAsia="en-US"/>
        </w:rPr>
        <w:t>V</w:t>
      </w:r>
      <w:r w:rsidR="005B376A">
        <w:rPr>
          <w:rFonts w:ascii="Times New Roman" w:eastAsiaTheme="minorHAnsi" w:hAnsi="Times New Roman" w:cs="Times New Roman"/>
          <w:b/>
          <w:lang w:eastAsia="en-US"/>
        </w:rPr>
        <w:t>I</w:t>
      </w:r>
      <w:r w:rsidR="00D91FAC">
        <w:rPr>
          <w:rFonts w:ascii="Times New Roman" w:eastAsiaTheme="minorHAnsi" w:hAnsi="Times New Roman" w:cs="Times New Roman"/>
          <w:b/>
          <w:lang w:eastAsia="en-US"/>
        </w:rPr>
        <w:t>I</w:t>
      </w:r>
      <w:r w:rsidR="00617220">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E20690">
        <w:rPr>
          <w:rFonts w:ascii="Times New Roman" w:eastAsiaTheme="minorHAnsi" w:hAnsi="Times New Roman" w:cs="Times New Roman"/>
          <w:b/>
          <w:lang w:eastAsia="en-US"/>
        </w:rPr>
        <w:t>65</w:t>
      </w:r>
      <w:r w:rsidR="00CD1894">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5E7DA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5B376A">
        <w:rPr>
          <w:rFonts w:ascii="Times New Roman" w:eastAsiaTheme="minorHAnsi" w:hAnsi="Times New Roman" w:cs="Times New Roman"/>
          <w:b/>
          <w:lang w:eastAsia="en-US"/>
        </w:rPr>
        <w:t>30 maja</w:t>
      </w:r>
      <w:r w:rsidR="00F1550A">
        <w:rPr>
          <w:rFonts w:ascii="Times New Roman" w:eastAsiaTheme="minorHAnsi" w:hAnsi="Times New Roman" w:cs="Times New Roman"/>
          <w:b/>
          <w:lang w:eastAsia="en-US"/>
        </w:rPr>
        <w:t xml:space="preserve"> </w:t>
      </w:r>
      <w:r w:rsidR="005E7DAF">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5E7DAF">
        <w:rPr>
          <w:rFonts w:ascii="Times New Roman" w:eastAsiaTheme="minorHAnsi" w:hAnsi="Times New Roman" w:cs="Times New Roman"/>
          <w:b/>
          <w:lang w:eastAsia="en-US"/>
        </w:rPr>
        <w:t xml:space="preserve">wprowadzenia zmian do uchwały </w:t>
      </w:r>
      <w:r w:rsidR="005E7DAF">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sidR="002542E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30593D" w:rsidRDefault="0030593D" w:rsidP="001E7113">
      <w:pPr>
        <w:spacing w:after="0" w:line="240" w:lineRule="auto"/>
        <w:jc w:val="both"/>
        <w:rPr>
          <w:rFonts w:ascii="Times New Roman" w:eastAsiaTheme="minorHAnsi" w:hAnsi="Times New Roman" w:cs="Times New Roman"/>
          <w:b/>
          <w:lang w:eastAsia="en-US"/>
        </w:rPr>
      </w:pPr>
    </w:p>
    <w:tbl>
      <w:tblPr>
        <w:tblW w:w="13198" w:type="dxa"/>
        <w:tblInd w:w="55" w:type="dxa"/>
        <w:tblCellMar>
          <w:left w:w="70" w:type="dxa"/>
          <w:right w:w="70" w:type="dxa"/>
        </w:tblCellMar>
        <w:tblLook w:val="04A0" w:firstRow="1" w:lastRow="0" w:firstColumn="1" w:lastColumn="0" w:noHBand="0" w:noVBand="1"/>
      </w:tblPr>
      <w:tblGrid>
        <w:gridCol w:w="620"/>
        <w:gridCol w:w="3364"/>
        <w:gridCol w:w="1134"/>
        <w:gridCol w:w="420"/>
        <w:gridCol w:w="420"/>
        <w:gridCol w:w="958"/>
        <w:gridCol w:w="1037"/>
        <w:gridCol w:w="851"/>
        <w:gridCol w:w="850"/>
        <w:gridCol w:w="851"/>
        <w:gridCol w:w="850"/>
        <w:gridCol w:w="851"/>
        <w:gridCol w:w="992"/>
      </w:tblGrid>
      <w:tr w:rsidR="003065D7" w:rsidRPr="00070F90" w:rsidTr="00070F90">
        <w:trPr>
          <w:trHeight w:val="50"/>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L.p.</w:t>
            </w:r>
          </w:p>
        </w:tc>
        <w:tc>
          <w:tcPr>
            <w:tcW w:w="33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Okres realizacji</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Łączne nakłady finansowe</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2021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2022</w:t>
            </w:r>
          </w:p>
        </w:tc>
        <w:tc>
          <w:tcPr>
            <w:tcW w:w="85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2024</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Limit zobowiązań</w:t>
            </w:r>
          </w:p>
        </w:tc>
      </w:tr>
      <w:tr w:rsidR="00070F90" w:rsidRPr="003065D7" w:rsidTr="00070F90">
        <w:trPr>
          <w:trHeight w:val="5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3364"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Do</w:t>
            </w:r>
          </w:p>
        </w:tc>
        <w:tc>
          <w:tcPr>
            <w:tcW w:w="958" w:type="dxa"/>
            <w:vMerge/>
            <w:tcBorders>
              <w:top w:val="nil"/>
              <w:left w:val="nil"/>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000000"/>
              <w:left w:val="single" w:sz="4" w:space="0" w:color="000000"/>
              <w:bottom w:val="single" w:sz="4" w:space="0" w:color="000000"/>
              <w:right w:val="nil"/>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p>
        </w:tc>
      </w:tr>
      <w:tr w:rsidR="00070F90" w:rsidRPr="003065D7" w:rsidTr="00070F90">
        <w:trPr>
          <w:trHeight w:val="50"/>
        </w:trPr>
        <w:tc>
          <w:tcPr>
            <w:tcW w:w="620"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364"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nil"/>
              <w:left w:val="nil"/>
              <w:bottom w:val="single" w:sz="4" w:space="0" w:color="000000"/>
              <w:right w:val="single" w:sz="4" w:space="0" w:color="000000"/>
            </w:tcBorders>
            <w:shd w:val="clear" w:color="000000" w:fill="FFFFFF"/>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nil"/>
              <w:left w:val="nil"/>
              <w:bottom w:val="single" w:sz="4" w:space="0" w:color="000000"/>
              <w:right w:val="single" w:sz="4" w:space="0" w:color="000000"/>
            </w:tcBorders>
            <w:shd w:val="clear" w:color="000000" w:fill="FFFFFF"/>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nil"/>
              <w:left w:val="nil"/>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000000"/>
              <w:left w:val="single" w:sz="4" w:space="0" w:color="000000"/>
              <w:bottom w:val="single" w:sz="4" w:space="0" w:color="000000"/>
              <w:right w:val="nil"/>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070F9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Wydatki na przedsięwzięcia-ogółem (1.1+1.2+1.3)</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12 69</w:t>
            </w:r>
            <w:r w:rsidR="00DC1FE9">
              <w:rPr>
                <w:rFonts w:ascii="Times New Roman" w:eastAsia="Times New Roman" w:hAnsi="Times New Roman" w:cs="Times New Roman"/>
                <w:color w:val="000000"/>
                <w:sz w:val="12"/>
                <w:szCs w:val="12"/>
              </w:rPr>
              <w:t>8</w:t>
            </w:r>
            <w:r w:rsidRPr="003065D7">
              <w:rPr>
                <w:rFonts w:ascii="Times New Roman" w:eastAsia="Times New Roman" w:hAnsi="Times New Roman" w:cs="Times New Roman"/>
                <w:color w:val="000000"/>
                <w:sz w:val="12"/>
                <w:szCs w:val="12"/>
              </w:rPr>
              <w:t xml:space="preserve"> 490,95</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9 64</w:t>
            </w:r>
            <w:r w:rsidR="00DC1FE9">
              <w:rPr>
                <w:rFonts w:ascii="Times New Roman" w:eastAsia="Times New Roman" w:hAnsi="Times New Roman" w:cs="Times New Roman"/>
                <w:color w:val="000000"/>
                <w:sz w:val="12"/>
                <w:szCs w:val="12"/>
              </w:rPr>
              <w:t>8</w:t>
            </w:r>
            <w:r w:rsidRPr="003065D7">
              <w:rPr>
                <w:rFonts w:ascii="Times New Roman" w:eastAsia="Times New Roman" w:hAnsi="Times New Roman" w:cs="Times New Roman"/>
                <w:color w:val="000000"/>
                <w:sz w:val="12"/>
                <w:szCs w:val="12"/>
              </w:rPr>
              <w:t> 823,78</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11 526,00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1 4</w:t>
            </w:r>
            <w:r w:rsidR="00DC1FE9">
              <w:rPr>
                <w:rFonts w:ascii="Times New Roman" w:eastAsia="Times New Roman" w:hAnsi="Times New Roman" w:cs="Times New Roman"/>
                <w:color w:val="000000"/>
                <w:sz w:val="12"/>
                <w:szCs w:val="12"/>
              </w:rPr>
              <w:t>71</w:t>
            </w:r>
            <w:r w:rsidRPr="003065D7">
              <w:rPr>
                <w:rFonts w:ascii="Times New Roman" w:eastAsia="Times New Roman" w:hAnsi="Times New Roman" w:cs="Times New Roman"/>
                <w:color w:val="000000"/>
                <w:sz w:val="12"/>
                <w:szCs w:val="12"/>
              </w:rPr>
              <w:t> 896,39</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1.a</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1 093 896,00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597 052,00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11 526,00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13 864,00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1.b</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11 597 594,95</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8C51C3">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9 0</w:t>
            </w:r>
            <w:r w:rsidR="008C51C3">
              <w:rPr>
                <w:rFonts w:ascii="Times New Roman" w:eastAsia="Times New Roman" w:hAnsi="Times New Roman" w:cs="Times New Roman"/>
                <w:color w:val="000000"/>
                <w:sz w:val="12"/>
                <w:szCs w:val="12"/>
              </w:rPr>
              <w:t>51</w:t>
            </w:r>
            <w:r w:rsidRPr="003065D7">
              <w:rPr>
                <w:rFonts w:ascii="Times New Roman" w:eastAsia="Times New Roman" w:hAnsi="Times New Roman" w:cs="Times New Roman"/>
                <w:color w:val="000000"/>
                <w:sz w:val="12"/>
                <w:szCs w:val="12"/>
              </w:rPr>
              <w:t> 771,78</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8C51C3">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1 45</w:t>
            </w:r>
            <w:r w:rsidR="008C51C3">
              <w:rPr>
                <w:rFonts w:ascii="Times New Roman" w:eastAsia="Times New Roman" w:hAnsi="Times New Roman" w:cs="Times New Roman"/>
                <w:color w:val="000000"/>
                <w:sz w:val="12"/>
                <w:szCs w:val="12"/>
              </w:rPr>
              <w:t>8</w:t>
            </w:r>
            <w:r w:rsidRPr="003065D7">
              <w:rPr>
                <w:rFonts w:ascii="Times New Roman" w:eastAsia="Times New Roman" w:hAnsi="Times New Roman" w:cs="Times New Roman"/>
                <w:color w:val="000000"/>
                <w:sz w:val="12"/>
                <w:szCs w:val="12"/>
              </w:rPr>
              <w:t> 032,39</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3065D7">
              <w:rPr>
                <w:rFonts w:ascii="Times New Roman" w:eastAsia="Times New Roman" w:hAnsi="Times New Roman" w:cs="Times New Roman"/>
                <w:color w:val="000000"/>
                <w:sz w:val="14"/>
                <w:szCs w:val="14"/>
              </w:rPr>
              <w:t>Dz.U.Nr</w:t>
            </w:r>
            <w:proofErr w:type="spellEnd"/>
            <w:r w:rsidRPr="003065D7">
              <w:rPr>
                <w:rFonts w:ascii="Times New Roman" w:eastAsia="Times New Roman" w:hAnsi="Times New Roman" w:cs="Times New Roman"/>
                <w:color w:val="000000"/>
                <w:sz w:val="14"/>
                <w:szCs w:val="14"/>
              </w:rPr>
              <w:t xml:space="preserve"> 157, poz.1240,z późn.zm.),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8 633 499,00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216 144,00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8 633 499,00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216 144,00</w:t>
            </w:r>
          </w:p>
        </w:tc>
      </w:tr>
      <w:tr w:rsidR="003065D7" w:rsidRPr="00070F90" w:rsidTr="00070F90">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1.1.2.1</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5 468 914,00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198 386,00</w:t>
            </w:r>
          </w:p>
        </w:tc>
      </w:tr>
      <w:tr w:rsidR="003065D7" w:rsidRPr="00070F90" w:rsidTr="00070F90">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1.1.2.2</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1 053 000,00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1 001 000,00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17 758,00</w:t>
            </w:r>
          </w:p>
        </w:tc>
      </w:tr>
      <w:tr w:rsidR="003065D7" w:rsidRPr="00070F90" w:rsidTr="00070F90">
        <w:trPr>
          <w:trHeight w:val="162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1.1.2.3</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2 111 585,00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1.2.1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1.2.2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Wydatki na programy, projekty lub zadania pozostałe (inne niż wymienione w pkt 1.1 i 1.2),z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4 0</w:t>
            </w:r>
            <w:r w:rsidR="00DC1FE9">
              <w:rPr>
                <w:rFonts w:ascii="Times New Roman" w:eastAsia="Times New Roman" w:hAnsi="Times New Roman" w:cs="Times New Roman"/>
                <w:color w:val="000000"/>
                <w:sz w:val="12"/>
                <w:szCs w:val="12"/>
              </w:rPr>
              <w:t>64</w:t>
            </w:r>
            <w:r w:rsidRPr="003065D7">
              <w:rPr>
                <w:rFonts w:ascii="Times New Roman" w:eastAsia="Times New Roman" w:hAnsi="Times New Roman" w:cs="Times New Roman"/>
                <w:color w:val="000000"/>
                <w:sz w:val="12"/>
                <w:szCs w:val="12"/>
              </w:rPr>
              <w:t xml:space="preserve"> 991,95</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2 9</w:t>
            </w:r>
            <w:r w:rsidR="00DC1FE9">
              <w:rPr>
                <w:rFonts w:ascii="Times New Roman" w:eastAsia="Times New Roman" w:hAnsi="Times New Roman" w:cs="Times New Roman"/>
                <w:color w:val="000000"/>
                <w:sz w:val="12"/>
                <w:szCs w:val="12"/>
              </w:rPr>
              <w:t>53</w:t>
            </w:r>
            <w:r w:rsidRPr="003065D7">
              <w:rPr>
                <w:rFonts w:ascii="Times New Roman" w:eastAsia="Times New Roman" w:hAnsi="Times New Roman" w:cs="Times New Roman"/>
                <w:color w:val="000000"/>
                <w:sz w:val="12"/>
                <w:szCs w:val="12"/>
              </w:rPr>
              <w:t> 909,78</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11 526,00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1 2</w:t>
            </w:r>
            <w:r w:rsidR="00DC1FE9">
              <w:rPr>
                <w:rFonts w:ascii="Times New Roman" w:eastAsia="Times New Roman" w:hAnsi="Times New Roman" w:cs="Times New Roman"/>
                <w:color w:val="000000"/>
                <w:sz w:val="12"/>
                <w:szCs w:val="12"/>
              </w:rPr>
              <w:t>55</w:t>
            </w:r>
            <w:r w:rsidRPr="003065D7">
              <w:rPr>
                <w:rFonts w:ascii="Times New Roman" w:eastAsia="Times New Roman" w:hAnsi="Times New Roman" w:cs="Times New Roman"/>
                <w:color w:val="000000"/>
                <w:sz w:val="12"/>
                <w:szCs w:val="12"/>
              </w:rPr>
              <w:t> 752,39</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1 093 896,00</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597 052,00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11 526,00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13 864,00</w:t>
            </w:r>
          </w:p>
        </w:tc>
      </w:tr>
      <w:tr w:rsidR="003065D7" w:rsidRPr="00070F90" w:rsidTr="00070F90">
        <w:trPr>
          <w:trHeight w:val="529"/>
        </w:trPr>
        <w:tc>
          <w:tcPr>
            <w:tcW w:w="620" w:type="dxa"/>
            <w:tcBorders>
              <w:top w:val="nil"/>
              <w:left w:val="single" w:sz="4" w:space="0" w:color="000000"/>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1.3.1.1</w:t>
            </w:r>
          </w:p>
        </w:tc>
        <w:tc>
          <w:tcPr>
            <w:tcW w:w="3364" w:type="dxa"/>
            <w:tcBorders>
              <w:top w:val="single" w:sz="4" w:space="0" w:color="000000"/>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2015</w:t>
            </w:r>
          </w:p>
        </w:tc>
        <w:tc>
          <w:tcPr>
            <w:tcW w:w="420"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24 969,00</w:t>
            </w:r>
          </w:p>
        </w:tc>
        <w:tc>
          <w:tcPr>
            <w:tcW w:w="1037"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18 819,00</w:t>
            </w:r>
          </w:p>
        </w:tc>
        <w:tc>
          <w:tcPr>
            <w:tcW w:w="851"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070F90" w:rsidRPr="003065D7" w:rsidTr="00070F90">
        <w:trPr>
          <w:trHeight w:val="50"/>
        </w:trPr>
        <w:tc>
          <w:tcPr>
            <w:tcW w:w="62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64"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65D7" w:rsidRPr="00070F90" w:rsidTr="00070F90">
        <w:trPr>
          <w:trHeight w:val="529"/>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1.3.1.2</w:t>
            </w:r>
          </w:p>
        </w:tc>
        <w:tc>
          <w:tcPr>
            <w:tcW w:w="3364"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2016</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192 039,00</w:t>
            </w:r>
          </w:p>
        </w:tc>
        <w:tc>
          <w:tcPr>
            <w:tcW w:w="1037"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66 050,00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4 999,00</w:t>
            </w:r>
          </w:p>
        </w:tc>
      </w:tr>
      <w:tr w:rsidR="003065D7" w:rsidRPr="00070F90" w:rsidTr="00070F90">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1.3.1.3</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999,00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250,00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1.3.1.4</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3065D7">
              <w:rPr>
                <w:rFonts w:ascii="Times New Roman" w:eastAsia="Times New Roman" w:hAnsi="Times New Roman" w:cs="Times New Roman"/>
                <w:color w:val="000000"/>
                <w:sz w:val="14"/>
                <w:szCs w:val="14"/>
              </w:rPr>
              <w:t>Wielatowo</w:t>
            </w:r>
            <w:proofErr w:type="spellEnd"/>
            <w:r w:rsidRPr="003065D7">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30 750,00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1.3.1.5</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29 520,00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1.3.1.6</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2020</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7 670,00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2 600,00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358,00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1.3.1.7</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Przegląd i konserwacja klimatyzacji w Urzędzie Gminy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2024</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31 094,00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6 220,00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5 020,00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2 510,00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34,00</w:t>
            </w:r>
          </w:p>
        </w:tc>
      </w:tr>
      <w:tr w:rsidR="003065D7" w:rsidRPr="00070F90" w:rsidTr="00070F90">
        <w:trPr>
          <w:trHeight w:val="683"/>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1.3.1.8</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751 972,00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450 000,00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8 073,00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1.3.1.9</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10 000,00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400,00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1.3.1.10</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Przegląd i konserwacja klimatyzacji w salach wiejskich na terenie Gminy Złotów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2024</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14 883,00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1 353,00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2 706,00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2 706,00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r>
      <w:tr w:rsidR="003065D7" w:rsidRPr="00070F90" w:rsidTr="00070F90">
        <w:trPr>
          <w:trHeight w:val="214"/>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w:t>
            </w:r>
          </w:p>
        </w:tc>
        <w:tc>
          <w:tcPr>
            <w:tcW w:w="533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2 9</w:t>
            </w:r>
            <w:r w:rsidR="00DC1FE9">
              <w:rPr>
                <w:rFonts w:ascii="Times New Roman" w:eastAsia="Times New Roman" w:hAnsi="Times New Roman" w:cs="Times New Roman"/>
                <w:color w:val="000000"/>
                <w:sz w:val="12"/>
                <w:szCs w:val="12"/>
              </w:rPr>
              <w:t>71</w:t>
            </w:r>
            <w:r w:rsidRPr="003065D7">
              <w:rPr>
                <w:rFonts w:ascii="Times New Roman" w:eastAsia="Times New Roman" w:hAnsi="Times New Roman" w:cs="Times New Roman"/>
                <w:color w:val="000000"/>
                <w:sz w:val="12"/>
                <w:szCs w:val="12"/>
              </w:rPr>
              <w:t xml:space="preserve"> 095,95</w:t>
            </w:r>
          </w:p>
        </w:tc>
        <w:tc>
          <w:tcPr>
            <w:tcW w:w="1037"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2 3</w:t>
            </w:r>
            <w:r w:rsidR="00DC1FE9">
              <w:rPr>
                <w:rFonts w:ascii="Times New Roman" w:eastAsia="Times New Roman" w:hAnsi="Times New Roman" w:cs="Times New Roman"/>
                <w:color w:val="000000"/>
                <w:sz w:val="12"/>
                <w:szCs w:val="12"/>
              </w:rPr>
              <w:t>56</w:t>
            </w:r>
            <w:r w:rsidRPr="003065D7">
              <w:rPr>
                <w:rFonts w:ascii="Times New Roman" w:eastAsia="Times New Roman" w:hAnsi="Times New Roman" w:cs="Times New Roman"/>
                <w:color w:val="000000"/>
                <w:sz w:val="12"/>
                <w:szCs w:val="12"/>
              </w:rPr>
              <w:t> 857,78</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1 2</w:t>
            </w:r>
            <w:r w:rsidR="00DC1FE9">
              <w:rPr>
                <w:rFonts w:ascii="Times New Roman" w:eastAsia="Times New Roman" w:hAnsi="Times New Roman" w:cs="Times New Roman"/>
                <w:color w:val="000000"/>
                <w:sz w:val="12"/>
                <w:szCs w:val="12"/>
              </w:rPr>
              <w:t>41</w:t>
            </w:r>
            <w:r w:rsidRPr="003065D7">
              <w:rPr>
                <w:rFonts w:ascii="Times New Roman" w:eastAsia="Times New Roman" w:hAnsi="Times New Roman" w:cs="Times New Roman"/>
                <w:color w:val="000000"/>
                <w:sz w:val="12"/>
                <w:szCs w:val="12"/>
              </w:rPr>
              <w:t> 888,39</w:t>
            </w:r>
          </w:p>
        </w:tc>
      </w:tr>
      <w:tr w:rsidR="003065D7" w:rsidRPr="00070F90" w:rsidTr="00070F90">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76</w:t>
            </w:r>
            <w:r w:rsidR="00DC1FE9">
              <w:rPr>
                <w:rFonts w:ascii="Times New Roman" w:eastAsia="Times New Roman" w:hAnsi="Times New Roman" w:cs="Times New Roman"/>
                <w:color w:val="000000"/>
                <w:sz w:val="12"/>
                <w:szCs w:val="12"/>
              </w:rPr>
              <w:t>8</w:t>
            </w:r>
            <w:r w:rsidRPr="003065D7">
              <w:rPr>
                <w:rFonts w:ascii="Times New Roman" w:eastAsia="Times New Roman" w:hAnsi="Times New Roman" w:cs="Times New Roman"/>
                <w:color w:val="000000"/>
                <w:sz w:val="12"/>
                <w:szCs w:val="12"/>
              </w:rPr>
              <w:t xml:space="preserve"> 795,00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DC1FE9">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72</w:t>
            </w:r>
            <w:r w:rsidR="00DC1FE9">
              <w:rPr>
                <w:rFonts w:ascii="Times New Roman" w:eastAsia="Times New Roman" w:hAnsi="Times New Roman" w:cs="Times New Roman"/>
                <w:color w:val="000000"/>
                <w:sz w:val="12"/>
                <w:szCs w:val="12"/>
              </w:rPr>
              <w:t>8</w:t>
            </w:r>
            <w:r w:rsidRPr="003065D7">
              <w:rPr>
                <w:rFonts w:ascii="Times New Roman" w:eastAsia="Times New Roman" w:hAnsi="Times New Roman" w:cs="Times New Roman"/>
                <w:color w:val="000000"/>
                <w:sz w:val="12"/>
                <w:szCs w:val="12"/>
              </w:rPr>
              <w:t>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DC1FE9" w:rsidP="003065D7">
            <w:pP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7 </w:t>
            </w:r>
            <w:r w:rsidR="003065D7" w:rsidRPr="003065D7">
              <w:rPr>
                <w:rFonts w:ascii="Times New Roman" w:eastAsia="Times New Roman" w:hAnsi="Times New Roman" w:cs="Times New Roman"/>
                <w:color w:val="000000"/>
                <w:sz w:val="12"/>
                <w:szCs w:val="12"/>
              </w:rPr>
              <w:t>988,00</w:t>
            </w:r>
          </w:p>
        </w:tc>
      </w:tr>
      <w:tr w:rsidR="003065D7" w:rsidRPr="00070F90" w:rsidTr="00070F90">
        <w:trPr>
          <w:trHeight w:val="8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1.3.2.2</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232 042,00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197 976,00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1.3.2.3</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sieci wodociągowej w m. Bielawa (dz. nr 86/3)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47 380,00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2 061,00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1.3.2.4</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sieci wodociągowej w m. Święta (dz. nr 792/4)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44 650,00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12 057,00</w:t>
            </w:r>
          </w:p>
        </w:tc>
      </w:tr>
    </w:tbl>
    <w:p w:rsidR="00070F90" w:rsidRDefault="00070F90" w:rsidP="00576DEB">
      <w:pPr>
        <w:spacing w:after="0" w:line="240" w:lineRule="auto"/>
        <w:jc w:val="center"/>
        <w:rPr>
          <w:rFonts w:ascii="Times New Roman" w:eastAsia="Times New Roman" w:hAnsi="Times New Roman" w:cs="Times New Roman"/>
          <w:color w:val="000000"/>
          <w:sz w:val="14"/>
          <w:szCs w:val="14"/>
        </w:rPr>
        <w:sectPr w:rsidR="00070F90" w:rsidSect="00407BC7">
          <w:pgSz w:w="15840" w:h="11894" w:orient="landscape"/>
          <w:pgMar w:top="1247" w:right="1418" w:bottom="1247" w:left="1440" w:header="709" w:footer="709" w:gutter="0"/>
          <w:cols w:space="708"/>
          <w:noEndnote/>
        </w:sectPr>
      </w:pPr>
    </w:p>
    <w:tbl>
      <w:tblPr>
        <w:tblW w:w="13198" w:type="dxa"/>
        <w:tblInd w:w="55" w:type="dxa"/>
        <w:tblCellMar>
          <w:left w:w="70" w:type="dxa"/>
          <w:right w:w="70" w:type="dxa"/>
        </w:tblCellMar>
        <w:tblLook w:val="04A0" w:firstRow="1" w:lastRow="0" w:firstColumn="1" w:lastColumn="0" w:noHBand="0" w:noVBand="1"/>
      </w:tblPr>
      <w:tblGrid>
        <w:gridCol w:w="620"/>
        <w:gridCol w:w="3364"/>
        <w:gridCol w:w="1134"/>
        <w:gridCol w:w="420"/>
        <w:gridCol w:w="420"/>
        <w:gridCol w:w="958"/>
        <w:gridCol w:w="1037"/>
        <w:gridCol w:w="851"/>
        <w:gridCol w:w="850"/>
        <w:gridCol w:w="851"/>
        <w:gridCol w:w="850"/>
        <w:gridCol w:w="851"/>
        <w:gridCol w:w="992"/>
      </w:tblGrid>
      <w:tr w:rsidR="00070F90" w:rsidRPr="003065D7" w:rsidTr="00576DEB">
        <w:trPr>
          <w:trHeight w:val="50"/>
        </w:trPr>
        <w:tc>
          <w:tcPr>
            <w:tcW w:w="62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64"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070F90" w:rsidRPr="003065D7" w:rsidRDefault="00070F90" w:rsidP="00576DE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1.3.2.5</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201 328,00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156 000,00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1.3.2.6</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24 946,42</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14 000,00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500,00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1.3.2.7</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30 919,05</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11 219,63</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1.3.2.8</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98 611,00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22 408,28</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1.3.2.9</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chodnika w m. Górzna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20 037,48</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12 037,48</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12 037,48</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1.3.2.10</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chodnika w m. Kamień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29 909,00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15 193,00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1.3.2.11</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drogi w m. Klukowo ("na nasypie")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31 000,00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31 000,00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2 320,00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1.3.2.12</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24 704,00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24 704,00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24 704,00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1.3.2.13</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ścieżki pieszo-rowerowej Stawnica-Złotów - Poprawa warunków komunikacyjnych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289 786,00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40 000,00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1.3.2.14</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Modernizacja drogi gminnej w m. Nowiny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124 973,00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110 096,00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39,00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1.3.2.15</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Przebudowa dróg w m. Międzybłocie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50 000,00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1 427,00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1.3.2.16</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Przebudowa drogi w m. Rudna (dz. nr 341)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39 000,00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20 000,00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20 000,00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1.3.2.17</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Przebudowa budynku socjalno-gospodarczego przy Urzędzie Gminy Złotów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537 000,00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527 000,00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520 850,00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1.3.2.18</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Montaż instalacji klimatyzacji w budynku Urzędu Gminy - poprawa warunków pracy</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132 397,00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608,00</w:t>
            </w:r>
          </w:p>
        </w:tc>
      </w:tr>
      <w:tr w:rsidR="003065D7" w:rsidRPr="00070F90" w:rsidTr="00070F90">
        <w:trPr>
          <w:trHeight w:val="529"/>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1.3.2.19</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3065D7">
              <w:rPr>
                <w:rFonts w:ascii="Times New Roman" w:eastAsia="Times New Roman" w:hAnsi="Times New Roman" w:cs="Times New Roman"/>
                <w:color w:val="000000"/>
                <w:sz w:val="14"/>
                <w:szCs w:val="14"/>
              </w:rPr>
              <w:t>społeczno</w:t>
            </w:r>
            <w:proofErr w:type="spellEnd"/>
            <w:r w:rsidRPr="003065D7">
              <w:rPr>
                <w:rFonts w:ascii="Times New Roman" w:eastAsia="Times New Roman" w:hAnsi="Times New Roman" w:cs="Times New Roman"/>
                <w:color w:val="000000"/>
                <w:sz w:val="14"/>
                <w:szCs w:val="14"/>
              </w:rPr>
              <w:t xml:space="preserve"> - kulturalny sołectwa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227 545,00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188 000,00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188 000,00</w:t>
            </w:r>
          </w:p>
        </w:tc>
      </w:tr>
      <w:tr w:rsidR="003065D7" w:rsidRPr="00070F90" w:rsidTr="00070F90">
        <w:trPr>
          <w:trHeight w:val="372"/>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1.3.2.20</w:t>
            </w:r>
          </w:p>
        </w:tc>
        <w:tc>
          <w:tcPr>
            <w:tcW w:w="336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Budowa chodnika w m. Józefowo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center"/>
              <w:rPr>
                <w:rFonts w:ascii="Times New Roman" w:eastAsia="Times New Roman" w:hAnsi="Times New Roman" w:cs="Times New Roman"/>
                <w:color w:val="000000"/>
                <w:sz w:val="14"/>
                <w:szCs w:val="14"/>
              </w:rPr>
            </w:pPr>
            <w:r w:rsidRPr="003065D7">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16 073,00</w:t>
            </w:r>
          </w:p>
        </w:tc>
        <w:tc>
          <w:tcPr>
            <w:tcW w:w="1037"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6 500,00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3065D7" w:rsidRPr="003065D7" w:rsidRDefault="003065D7" w:rsidP="003065D7">
            <w:pPr>
              <w:spacing w:after="0" w:line="240" w:lineRule="auto"/>
              <w:jc w:val="right"/>
              <w:rPr>
                <w:rFonts w:ascii="Times New Roman" w:eastAsia="Times New Roman" w:hAnsi="Times New Roman" w:cs="Times New Roman"/>
                <w:color w:val="000000"/>
                <w:sz w:val="12"/>
                <w:szCs w:val="12"/>
              </w:rPr>
            </w:pPr>
            <w:r w:rsidRPr="003065D7">
              <w:rPr>
                <w:rFonts w:ascii="Times New Roman" w:eastAsia="Times New Roman" w:hAnsi="Times New Roman" w:cs="Times New Roman"/>
                <w:color w:val="000000"/>
                <w:sz w:val="12"/>
                <w:szCs w:val="12"/>
              </w:rPr>
              <w:t>6 500,00</w:t>
            </w:r>
          </w:p>
        </w:tc>
      </w:tr>
    </w:tbl>
    <w:p w:rsidR="00E83A2D" w:rsidRDefault="00E83A2D" w:rsidP="001E7113">
      <w:pPr>
        <w:spacing w:after="0" w:line="240" w:lineRule="auto"/>
        <w:jc w:val="both"/>
        <w:rPr>
          <w:rFonts w:ascii="Times New Roman" w:eastAsiaTheme="minorHAnsi" w:hAnsi="Times New Roman" w:cs="Times New Roman"/>
          <w:b/>
          <w:lang w:eastAsia="en-US"/>
        </w:rPr>
      </w:pPr>
    </w:p>
    <w:p w:rsidR="00E83A2D" w:rsidRDefault="00E83A2D" w:rsidP="001E7113">
      <w:pPr>
        <w:spacing w:after="0" w:line="240" w:lineRule="auto"/>
        <w:jc w:val="both"/>
        <w:rPr>
          <w:rFonts w:ascii="Times New Roman" w:eastAsiaTheme="minorHAnsi" w:hAnsi="Times New Roman" w:cs="Times New Roman"/>
          <w:b/>
          <w:lang w:eastAsia="en-US"/>
        </w:rPr>
      </w:pPr>
    </w:p>
    <w:p w:rsidR="0030593D" w:rsidRDefault="0030593D" w:rsidP="00E47C3F">
      <w:pPr>
        <w:spacing w:after="0" w:line="240" w:lineRule="auto"/>
        <w:jc w:val="center"/>
        <w:rPr>
          <w:rFonts w:ascii="Times New Roman" w:eastAsia="Times New Roman" w:hAnsi="Times New Roman" w:cs="Times New Roman"/>
          <w:color w:val="000000"/>
          <w:sz w:val="14"/>
          <w:szCs w:val="14"/>
        </w:rPr>
        <w:sectPr w:rsidR="0030593D" w:rsidSect="00407BC7">
          <w:pgSz w:w="15840" w:h="11894" w:orient="landscape"/>
          <w:pgMar w:top="1247" w:right="1418" w:bottom="1247" w:left="1440" w:header="709" w:footer="709" w:gutter="0"/>
          <w:cols w:space="708"/>
          <w:noEndnote/>
        </w:sect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7490F">
        <w:rPr>
          <w:rFonts w:ascii="Times New Roman" w:hAnsi="Times New Roman" w:cs="Times New Roman"/>
          <w:b/>
          <w:bCs/>
        </w:rPr>
        <w:lastRenderedPageBreak/>
        <w:t>Objaśnienia do uchwały Nr VI</w:t>
      </w:r>
      <w:r w:rsidRPr="003746E5">
        <w:rPr>
          <w:rFonts w:ascii="Times New Roman" w:hAnsi="Times New Roman" w:cs="Times New Roman"/>
          <w:b/>
          <w:bCs/>
        </w:rPr>
        <w:t>II.</w:t>
      </w:r>
      <w:r w:rsidR="00E20690">
        <w:rPr>
          <w:rFonts w:ascii="Times New Roman" w:hAnsi="Times New Roman" w:cs="Times New Roman"/>
          <w:b/>
          <w:bCs/>
        </w:rPr>
        <w:t>65</w:t>
      </w:r>
      <w:r w:rsidRPr="0067490F">
        <w:rPr>
          <w:rFonts w:ascii="Times New Roman" w:hAnsi="Times New Roman" w:cs="Times New Roman"/>
          <w:b/>
          <w:bCs/>
        </w:rPr>
        <w:t>.2019</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7490F">
        <w:rPr>
          <w:rFonts w:ascii="Times New Roman" w:hAnsi="Times New Roman" w:cs="Times New Roman"/>
          <w:b/>
          <w:bCs/>
        </w:rPr>
        <w:t xml:space="preserve">Rady Gminy Złotów z dnia </w:t>
      </w:r>
      <w:r w:rsidRPr="003746E5">
        <w:rPr>
          <w:rFonts w:ascii="Times New Roman" w:hAnsi="Times New Roman" w:cs="Times New Roman"/>
          <w:b/>
          <w:bCs/>
        </w:rPr>
        <w:t>30 maja</w:t>
      </w:r>
      <w:r w:rsidRPr="0067490F">
        <w:rPr>
          <w:rFonts w:ascii="Times New Roman" w:hAnsi="Times New Roman" w:cs="Times New Roman"/>
          <w:b/>
          <w:bCs/>
        </w:rPr>
        <w:t xml:space="preserve"> 2019 r.</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7490F">
        <w:rPr>
          <w:rFonts w:ascii="Times New Roman" w:hAnsi="Times New Roman" w:cs="Times New Roman"/>
          <w:b/>
          <w:bCs/>
        </w:rPr>
        <w:t>w sprawie wprowadzenia zmian do uchwały w sprawie uchwalenia Wieloletniej Prognozy Finansowej Gminy Złotów na lata 2019 – 2026.</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7490F">
        <w:rPr>
          <w:rFonts w:ascii="Times New Roman" w:hAnsi="Times New Roman" w:cs="Times New Roman"/>
          <w:b/>
          <w:bCs/>
        </w:rPr>
        <w:t>Załącznik Nr 1 – Wieloletnia Prognoza Finansowa na lata 2019-2026.</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 xml:space="preserve">Dla celów zachowania zgodności pomiędzy uchwałą budżetową na rok 2019, a Wieloletnią Prognozą Finansową w zakresie roku 2019 w odpowiednich pozycjach Wieloletniej Prognozy Finansowej wprowadzono zmiany wynikające ze zmian do uchwały budżetowej wprowadzonych </w:t>
      </w:r>
      <w:r w:rsidRPr="003746E5">
        <w:rPr>
          <w:rFonts w:ascii="Times New Roman" w:hAnsi="Times New Roman" w:cs="Times New Roman"/>
        </w:rPr>
        <w:t xml:space="preserve">zarządzeniami Wójta Gminy Złotów Nr 42.2019 z dnia 30 kwietnia 2019 r., Nr 47.2019 z dnia 16 maja 2019 r. oraz </w:t>
      </w:r>
      <w:r w:rsidRPr="0067490F">
        <w:rPr>
          <w:rFonts w:ascii="Times New Roman" w:hAnsi="Times New Roman" w:cs="Times New Roman"/>
        </w:rPr>
        <w:t>uchwałą Rady Gminy Złotów Nr VII</w:t>
      </w:r>
      <w:r w:rsidR="00E20690">
        <w:rPr>
          <w:rFonts w:ascii="Times New Roman" w:hAnsi="Times New Roman" w:cs="Times New Roman"/>
        </w:rPr>
        <w:t>I.6</w:t>
      </w:r>
      <w:r w:rsidR="008C51C3">
        <w:rPr>
          <w:rFonts w:ascii="Times New Roman" w:hAnsi="Times New Roman" w:cs="Times New Roman"/>
        </w:rPr>
        <w:t>6</w:t>
      </w:r>
      <w:r w:rsidRPr="0067490F">
        <w:rPr>
          <w:rFonts w:ascii="Times New Roman" w:hAnsi="Times New Roman" w:cs="Times New Roman"/>
        </w:rPr>
        <w:t xml:space="preserve">.2019 z dnia </w:t>
      </w:r>
      <w:r w:rsidRPr="003746E5">
        <w:rPr>
          <w:rFonts w:ascii="Times New Roman" w:hAnsi="Times New Roman" w:cs="Times New Roman"/>
        </w:rPr>
        <w:t>30 maja</w:t>
      </w:r>
      <w:r w:rsidRPr="0067490F">
        <w:rPr>
          <w:rFonts w:ascii="Times New Roman" w:hAnsi="Times New Roman" w:cs="Times New Roman"/>
        </w:rPr>
        <w:t xml:space="preserve"> 2019 r. </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7490F">
        <w:rPr>
          <w:rFonts w:ascii="Times New Roman" w:hAnsi="Times New Roman" w:cs="Times New Roman"/>
        </w:rPr>
        <w:t>Zwiększone zostały prognozowane kwoty dochodów</w:t>
      </w:r>
      <w:r w:rsidRPr="0067490F">
        <w:rPr>
          <w:rFonts w:ascii="Times New Roman" w:hAnsi="Times New Roman" w:cs="Times New Roman"/>
          <w:b/>
          <w:bCs/>
        </w:rPr>
        <w:t xml:space="preserve"> </w:t>
      </w:r>
      <w:r w:rsidRPr="0067490F">
        <w:rPr>
          <w:rFonts w:ascii="Times New Roman" w:hAnsi="Times New Roman" w:cs="Times New Roman"/>
        </w:rPr>
        <w:t xml:space="preserve">o </w:t>
      </w:r>
      <w:r w:rsidRPr="003746E5">
        <w:rPr>
          <w:rFonts w:ascii="Times New Roman" w:hAnsi="Times New Roman" w:cs="Times New Roman"/>
        </w:rPr>
        <w:t>1.</w:t>
      </w:r>
      <w:r w:rsidR="00F02C9C">
        <w:rPr>
          <w:rFonts w:ascii="Times New Roman" w:hAnsi="Times New Roman" w:cs="Times New Roman"/>
        </w:rPr>
        <w:t>157.779,44</w:t>
      </w:r>
      <w:r w:rsidRPr="0067490F">
        <w:rPr>
          <w:rFonts w:ascii="Times New Roman" w:hAnsi="Times New Roman" w:cs="Times New Roman"/>
        </w:rPr>
        <w:t xml:space="preserve"> zł, to jest do kwoty </w:t>
      </w:r>
      <w:r w:rsidRPr="003746E5">
        <w:rPr>
          <w:rFonts w:ascii="Times New Roman" w:hAnsi="Times New Roman" w:cs="Times New Roman"/>
        </w:rPr>
        <w:t>45.</w:t>
      </w:r>
      <w:r w:rsidR="00F02C9C">
        <w:rPr>
          <w:rFonts w:ascii="Times New Roman" w:hAnsi="Times New Roman" w:cs="Times New Roman"/>
        </w:rPr>
        <w:t>810.023,43</w:t>
      </w:r>
      <w:r w:rsidRPr="0067490F">
        <w:rPr>
          <w:rFonts w:ascii="Times New Roman" w:hAnsi="Times New Roman" w:cs="Times New Roman"/>
        </w:rPr>
        <w:t xml:space="preserve"> zł, </w:t>
      </w: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z tego:</w:t>
      </w:r>
      <w:r w:rsidR="00352908">
        <w:rPr>
          <w:rFonts w:ascii="Times New Roman" w:hAnsi="Times New Roman" w:cs="Times New Roman"/>
        </w:rPr>
        <w:t xml:space="preserve"> </w:t>
      </w:r>
    </w:p>
    <w:p w:rsidR="00576DEB" w:rsidRDefault="00576DEB" w:rsidP="00576DE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 xml:space="preserve">- bieżących – zwiększenie o </w:t>
      </w:r>
      <w:r w:rsidRPr="003746E5">
        <w:rPr>
          <w:rFonts w:ascii="Times New Roman" w:hAnsi="Times New Roman" w:cs="Times New Roman"/>
        </w:rPr>
        <w:t>1.</w:t>
      </w:r>
      <w:r w:rsidR="002641AF">
        <w:rPr>
          <w:rFonts w:ascii="Times New Roman" w:hAnsi="Times New Roman" w:cs="Times New Roman"/>
        </w:rPr>
        <w:t>157.779,44 zł</w:t>
      </w:r>
      <w:r w:rsidRPr="0067490F">
        <w:rPr>
          <w:rFonts w:ascii="Times New Roman" w:hAnsi="Times New Roman" w:cs="Times New Roman"/>
        </w:rPr>
        <w:t xml:space="preserve">, to jest do kwoty </w:t>
      </w:r>
      <w:r w:rsidRPr="003746E5">
        <w:rPr>
          <w:rFonts w:ascii="Times New Roman" w:hAnsi="Times New Roman" w:cs="Times New Roman"/>
        </w:rPr>
        <w:t>42.</w:t>
      </w:r>
      <w:r w:rsidR="002641AF">
        <w:rPr>
          <w:rFonts w:ascii="Times New Roman" w:hAnsi="Times New Roman" w:cs="Times New Roman"/>
        </w:rPr>
        <w:t>185.071,04</w:t>
      </w:r>
      <w:r>
        <w:rPr>
          <w:rFonts w:ascii="Times New Roman" w:hAnsi="Times New Roman" w:cs="Times New Roman"/>
        </w:rPr>
        <w:t xml:space="preserve"> zł,</w:t>
      </w:r>
    </w:p>
    <w:p w:rsidR="00576DEB" w:rsidRDefault="00576DEB" w:rsidP="00576DE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 tym:</w:t>
      </w:r>
      <w:bookmarkStart w:id="0" w:name="_GoBack"/>
      <w:bookmarkEnd w:id="0"/>
    </w:p>
    <w:p w:rsidR="00576DEB" w:rsidRDefault="00576DEB" w:rsidP="00576DE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podatki i opłaty – zwiększenie o </w:t>
      </w:r>
      <w:r w:rsidR="002641AF">
        <w:rPr>
          <w:rFonts w:ascii="Times New Roman" w:hAnsi="Times New Roman" w:cs="Times New Roman"/>
        </w:rPr>
        <w:t>173.640</w:t>
      </w:r>
      <w:r>
        <w:rPr>
          <w:rFonts w:ascii="Times New Roman" w:hAnsi="Times New Roman" w:cs="Times New Roman"/>
        </w:rPr>
        <w:t xml:space="preserve"> zł,</w:t>
      </w:r>
    </w:p>
    <w:p w:rsidR="00576DEB" w:rsidRPr="0067490F" w:rsidRDefault="00576DEB" w:rsidP="00576DE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dochody z tytułu dotacji i środków przeznaczonych na cele bieżące – zwiększenie o 97</w:t>
      </w:r>
      <w:r w:rsidR="002641AF">
        <w:rPr>
          <w:rFonts w:ascii="Times New Roman" w:hAnsi="Times New Roman" w:cs="Times New Roman"/>
        </w:rPr>
        <w:t xml:space="preserve">5.139,44 </w:t>
      </w:r>
      <w:r>
        <w:rPr>
          <w:rFonts w:ascii="Times New Roman" w:hAnsi="Times New Roman" w:cs="Times New Roman"/>
        </w:rPr>
        <w:t>zł.</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7490F">
        <w:rPr>
          <w:rFonts w:ascii="Times New Roman" w:hAnsi="Times New Roman" w:cs="Times New Roman"/>
        </w:rPr>
        <w:t>Zwiększone zostały planowane kwoty wydatków</w:t>
      </w:r>
      <w:r w:rsidRPr="0067490F">
        <w:rPr>
          <w:rFonts w:ascii="Times New Roman" w:hAnsi="Times New Roman" w:cs="Times New Roman"/>
          <w:b/>
          <w:bCs/>
        </w:rPr>
        <w:t xml:space="preserve"> </w:t>
      </w:r>
      <w:r w:rsidRPr="0067490F">
        <w:rPr>
          <w:rFonts w:ascii="Times New Roman" w:hAnsi="Times New Roman" w:cs="Times New Roman"/>
        </w:rPr>
        <w:t xml:space="preserve">o </w:t>
      </w:r>
      <w:r w:rsidRPr="00CA26A7">
        <w:rPr>
          <w:rFonts w:ascii="Times New Roman" w:hAnsi="Times New Roman" w:cs="Times New Roman"/>
        </w:rPr>
        <w:t>1.</w:t>
      </w:r>
      <w:r w:rsidR="002641AF">
        <w:rPr>
          <w:rFonts w:ascii="Times New Roman" w:hAnsi="Times New Roman" w:cs="Times New Roman"/>
        </w:rPr>
        <w:t>252.439,70</w:t>
      </w:r>
      <w:r w:rsidRPr="0067490F">
        <w:rPr>
          <w:rFonts w:ascii="Times New Roman" w:hAnsi="Times New Roman" w:cs="Times New Roman"/>
        </w:rPr>
        <w:t xml:space="preserve"> zł, to jest do kwoty </w:t>
      </w:r>
      <w:r w:rsidRPr="00CA26A7">
        <w:rPr>
          <w:rFonts w:ascii="Times New Roman" w:hAnsi="Times New Roman" w:cs="Times New Roman"/>
        </w:rPr>
        <w:t>49.</w:t>
      </w:r>
      <w:r w:rsidR="002641AF">
        <w:rPr>
          <w:rFonts w:ascii="Times New Roman" w:hAnsi="Times New Roman" w:cs="Times New Roman"/>
        </w:rPr>
        <w:t>450.286,91</w:t>
      </w:r>
      <w:r w:rsidRPr="0067490F">
        <w:rPr>
          <w:rFonts w:ascii="Times New Roman" w:hAnsi="Times New Roman" w:cs="Times New Roman"/>
        </w:rPr>
        <w:t xml:space="preserve"> zł, </w:t>
      </w: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z tego:</w:t>
      </w:r>
    </w:p>
    <w:p w:rsidR="00576DEB" w:rsidRPr="0067490F" w:rsidRDefault="00576DEB" w:rsidP="00576DEB">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 xml:space="preserve">- bieżących – zwiększenie o </w:t>
      </w:r>
      <w:r w:rsidRPr="00CA26A7">
        <w:rPr>
          <w:rFonts w:ascii="Times New Roman" w:hAnsi="Times New Roman" w:cs="Times New Roman"/>
        </w:rPr>
        <w:t>1.</w:t>
      </w:r>
      <w:r w:rsidR="002641AF">
        <w:rPr>
          <w:rFonts w:ascii="Times New Roman" w:hAnsi="Times New Roman" w:cs="Times New Roman"/>
        </w:rPr>
        <w:t>005.139,70</w:t>
      </w:r>
      <w:r w:rsidRPr="0067490F">
        <w:rPr>
          <w:rFonts w:ascii="Times New Roman" w:hAnsi="Times New Roman" w:cs="Times New Roman"/>
        </w:rPr>
        <w:t xml:space="preserve"> zł, to jest do kwoty </w:t>
      </w:r>
      <w:r w:rsidRPr="00CA26A7">
        <w:rPr>
          <w:rFonts w:ascii="Times New Roman" w:hAnsi="Times New Roman" w:cs="Times New Roman"/>
        </w:rPr>
        <w:t>37.165.</w:t>
      </w:r>
      <w:r w:rsidR="002641AF">
        <w:rPr>
          <w:rFonts w:ascii="Times New Roman" w:hAnsi="Times New Roman" w:cs="Times New Roman"/>
        </w:rPr>
        <w:t>889,07</w:t>
      </w:r>
      <w:r w:rsidRPr="0067490F">
        <w:rPr>
          <w:rFonts w:ascii="Times New Roman" w:hAnsi="Times New Roman" w:cs="Times New Roman"/>
        </w:rPr>
        <w:t xml:space="preserve"> zł,</w:t>
      </w: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 xml:space="preserve">- majątkowych – zwiększenie o </w:t>
      </w:r>
      <w:r w:rsidRPr="00CA26A7">
        <w:rPr>
          <w:rFonts w:ascii="Times New Roman" w:hAnsi="Times New Roman" w:cs="Times New Roman"/>
        </w:rPr>
        <w:t>24</w:t>
      </w:r>
      <w:r w:rsidR="002641AF">
        <w:rPr>
          <w:rFonts w:ascii="Times New Roman" w:hAnsi="Times New Roman" w:cs="Times New Roman"/>
        </w:rPr>
        <w:t>7</w:t>
      </w:r>
      <w:r w:rsidRPr="00CA26A7">
        <w:rPr>
          <w:rFonts w:ascii="Times New Roman" w:hAnsi="Times New Roman" w:cs="Times New Roman"/>
        </w:rPr>
        <w:t>.300</w:t>
      </w:r>
      <w:r w:rsidRPr="0067490F">
        <w:rPr>
          <w:rFonts w:ascii="Times New Roman" w:hAnsi="Times New Roman" w:cs="Times New Roman"/>
        </w:rPr>
        <w:t>,00 zł, to jest do kwoty 12.</w:t>
      </w:r>
      <w:r w:rsidRPr="00CA26A7">
        <w:rPr>
          <w:rFonts w:ascii="Times New Roman" w:hAnsi="Times New Roman" w:cs="Times New Roman"/>
        </w:rPr>
        <w:t>2</w:t>
      </w:r>
      <w:r w:rsidR="002641AF">
        <w:rPr>
          <w:rFonts w:ascii="Times New Roman" w:hAnsi="Times New Roman" w:cs="Times New Roman"/>
        </w:rPr>
        <w:t>84</w:t>
      </w:r>
      <w:r w:rsidRPr="00CA26A7">
        <w:rPr>
          <w:rFonts w:ascii="Times New Roman" w:hAnsi="Times New Roman" w:cs="Times New Roman"/>
        </w:rPr>
        <w:t>.397,84</w:t>
      </w:r>
      <w:r w:rsidRPr="0067490F">
        <w:rPr>
          <w:rFonts w:ascii="Times New Roman" w:hAnsi="Times New Roman" w:cs="Times New Roman"/>
        </w:rPr>
        <w:t xml:space="preserve"> zł.</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Różnica między dochodami bieżącymi</w:t>
      </w:r>
      <w:r w:rsidR="004E1D67">
        <w:rPr>
          <w:rFonts w:ascii="Times New Roman" w:hAnsi="Times New Roman" w:cs="Times New Roman"/>
        </w:rPr>
        <w:t>,</w:t>
      </w:r>
      <w:r w:rsidRPr="0067490F">
        <w:rPr>
          <w:rFonts w:ascii="Times New Roman" w:hAnsi="Times New Roman" w:cs="Times New Roman"/>
        </w:rPr>
        <w:t xml:space="preserve"> a wydatkami bieżącymi (art. 242 ustawy) </w:t>
      </w:r>
      <w:r w:rsidRPr="00612AE4">
        <w:rPr>
          <w:rFonts w:ascii="Times New Roman" w:hAnsi="Times New Roman" w:cs="Times New Roman"/>
        </w:rPr>
        <w:t>zwiększyła</w:t>
      </w:r>
      <w:r w:rsidRPr="0067490F">
        <w:rPr>
          <w:rFonts w:ascii="Times New Roman" w:hAnsi="Times New Roman" w:cs="Times New Roman"/>
        </w:rPr>
        <w:t xml:space="preserve"> się o kwotę </w:t>
      </w:r>
      <w:r w:rsidR="002641AF">
        <w:rPr>
          <w:rFonts w:ascii="Times New Roman" w:hAnsi="Times New Roman" w:cs="Times New Roman"/>
        </w:rPr>
        <w:t>152.639,74</w:t>
      </w:r>
      <w:r w:rsidRPr="0067490F">
        <w:rPr>
          <w:rFonts w:ascii="Times New Roman" w:hAnsi="Times New Roman" w:cs="Times New Roman"/>
        </w:rPr>
        <w:t xml:space="preserve"> zł i wynosi </w:t>
      </w:r>
      <w:r w:rsidRPr="00B46DB2">
        <w:rPr>
          <w:rFonts w:ascii="Times New Roman" w:hAnsi="Times New Roman" w:cs="Times New Roman"/>
        </w:rPr>
        <w:t>5.</w:t>
      </w:r>
      <w:r w:rsidR="002641AF">
        <w:rPr>
          <w:rFonts w:ascii="Times New Roman" w:hAnsi="Times New Roman" w:cs="Times New Roman"/>
        </w:rPr>
        <w:t>019.181,97</w:t>
      </w:r>
      <w:r w:rsidRPr="0067490F">
        <w:rPr>
          <w:rFonts w:ascii="Times New Roman" w:hAnsi="Times New Roman" w:cs="Times New Roman"/>
        </w:rPr>
        <w:t xml:space="preserve"> zł.</w:t>
      </w:r>
    </w:p>
    <w:p w:rsidR="00576DEB" w:rsidRPr="0067490F" w:rsidRDefault="00576DEB" w:rsidP="00576D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 xml:space="preserve">Planowany deficyt budżetu gminy zwiększono o kwotę </w:t>
      </w:r>
      <w:r w:rsidRPr="00B46DB2">
        <w:rPr>
          <w:rFonts w:ascii="Times New Roman" w:hAnsi="Times New Roman" w:cs="Times New Roman"/>
        </w:rPr>
        <w:t>94.660,26</w:t>
      </w:r>
      <w:r w:rsidRPr="0067490F">
        <w:rPr>
          <w:rFonts w:ascii="Times New Roman" w:hAnsi="Times New Roman" w:cs="Times New Roman"/>
        </w:rPr>
        <w:t xml:space="preserve"> zł. Źródłem sfinansowania zwiększonego deficytu są wolne środki, o których mowa w art. 217 ust. 2 pkt 6 ustawy o finansach publicznych. </w:t>
      </w:r>
    </w:p>
    <w:p w:rsidR="00576DEB" w:rsidRPr="0067490F"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FF0000"/>
        </w:rPr>
      </w:pPr>
      <w:r w:rsidRPr="0067490F">
        <w:rPr>
          <w:rFonts w:ascii="Times New Roman" w:hAnsi="Times New Roman" w:cs="Times New Roman"/>
        </w:rPr>
        <w:t>Po wprowadzeniu do WPF wyżej omówionych zmian, wskaźnik łącznej kwoty spłaty zobowiązań,            do dochodów ogółem, po uwzględnieniu ustawowych wyłączeń, dla roku 2019 zmniejszył się o 0,0</w:t>
      </w:r>
      <w:r w:rsidRPr="00B46DB2">
        <w:rPr>
          <w:rFonts w:ascii="Times New Roman" w:hAnsi="Times New Roman" w:cs="Times New Roman"/>
        </w:rPr>
        <w:t>9</w:t>
      </w:r>
      <w:r w:rsidRPr="0067490F">
        <w:rPr>
          <w:rFonts w:ascii="Times New Roman" w:hAnsi="Times New Roman" w:cs="Times New Roman"/>
        </w:rPr>
        <w:t xml:space="preserve"> %      i wynosi 3,</w:t>
      </w:r>
      <w:r w:rsidRPr="00B46DB2">
        <w:rPr>
          <w:rFonts w:ascii="Times New Roman" w:hAnsi="Times New Roman" w:cs="Times New Roman"/>
        </w:rPr>
        <w:t>53</w:t>
      </w:r>
      <w:r w:rsidRPr="0067490F">
        <w:rPr>
          <w:rFonts w:ascii="Times New Roman" w:hAnsi="Times New Roman" w:cs="Times New Roman"/>
        </w:rPr>
        <w:t xml:space="preserve"> %.</w:t>
      </w:r>
    </w:p>
    <w:p w:rsidR="00576DEB" w:rsidRPr="0067490F" w:rsidRDefault="00576DEB" w:rsidP="00576D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76DEB" w:rsidRPr="0067490F"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7490F">
        <w:rPr>
          <w:rFonts w:ascii="Times New Roman" w:hAnsi="Times New Roman" w:cs="Times New Roman"/>
        </w:rPr>
        <w:t>Zaktualizowano również pozostałe dane wynikające ze szczegółowości Wieloletniej Prognozy Finansowej.</w:t>
      </w:r>
    </w:p>
    <w:p w:rsidR="00576DEB" w:rsidRPr="00576DEB"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576DEB" w:rsidRPr="00576DEB"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576DEB">
        <w:rPr>
          <w:rFonts w:ascii="Times New Roman" w:hAnsi="Times New Roman" w:cs="Times New Roman"/>
          <w:b/>
          <w:bCs/>
        </w:rPr>
        <w:t>Załącznik Nr 2 – Wykaz Wieloletnich Przedsięwzięć Finansowych</w:t>
      </w:r>
    </w:p>
    <w:p w:rsidR="00576DEB" w:rsidRPr="00576DEB" w:rsidRDefault="00576DEB" w:rsidP="00576DEB">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p>
    <w:p w:rsidR="00576DEB" w:rsidRPr="00576DEB" w:rsidRDefault="00576DEB"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Dokonano zmian </w:t>
      </w:r>
      <w:r w:rsidRPr="00576DEB">
        <w:rPr>
          <w:rFonts w:ascii="Times New Roman" w:hAnsi="Times New Roman" w:cs="Times New Roman"/>
        </w:rPr>
        <w:t>łączn</w:t>
      </w:r>
      <w:r>
        <w:rPr>
          <w:rFonts w:ascii="Times New Roman" w:hAnsi="Times New Roman" w:cs="Times New Roman"/>
        </w:rPr>
        <w:t xml:space="preserve">ych </w:t>
      </w:r>
      <w:r w:rsidRPr="00576DEB">
        <w:rPr>
          <w:rFonts w:ascii="Times New Roman" w:hAnsi="Times New Roman" w:cs="Times New Roman"/>
        </w:rPr>
        <w:t>nakład</w:t>
      </w:r>
      <w:r>
        <w:rPr>
          <w:rFonts w:ascii="Times New Roman" w:hAnsi="Times New Roman" w:cs="Times New Roman"/>
        </w:rPr>
        <w:t>ów finansowych</w:t>
      </w:r>
      <w:r w:rsidRPr="00576DEB">
        <w:rPr>
          <w:rFonts w:ascii="Times New Roman" w:hAnsi="Times New Roman" w:cs="Times New Roman"/>
        </w:rPr>
        <w:t>, limit</w:t>
      </w:r>
      <w:r>
        <w:rPr>
          <w:rFonts w:ascii="Times New Roman" w:hAnsi="Times New Roman" w:cs="Times New Roman"/>
        </w:rPr>
        <w:t>u</w:t>
      </w:r>
      <w:r w:rsidRPr="00576DEB">
        <w:rPr>
          <w:rFonts w:ascii="Times New Roman" w:hAnsi="Times New Roman" w:cs="Times New Roman"/>
        </w:rPr>
        <w:t xml:space="preserve"> wydatków roku 2019 oraz limit</w:t>
      </w:r>
      <w:r>
        <w:rPr>
          <w:rFonts w:ascii="Times New Roman" w:hAnsi="Times New Roman" w:cs="Times New Roman"/>
        </w:rPr>
        <w:t>u</w:t>
      </w:r>
      <w:r w:rsidRPr="00576DEB">
        <w:rPr>
          <w:rFonts w:ascii="Times New Roman" w:hAnsi="Times New Roman" w:cs="Times New Roman"/>
        </w:rPr>
        <w:t xml:space="preserve"> zobowiązań</w:t>
      </w:r>
      <w:r>
        <w:rPr>
          <w:rFonts w:ascii="Times New Roman" w:hAnsi="Times New Roman" w:cs="Times New Roman"/>
        </w:rPr>
        <w:t xml:space="preserve"> </w:t>
      </w:r>
      <w:r>
        <w:rPr>
          <w:rFonts w:ascii="Times New Roman" w:hAnsi="Times New Roman" w:cs="Times New Roman"/>
        </w:rPr>
        <w:br/>
        <w:t xml:space="preserve">w </w:t>
      </w:r>
      <w:r w:rsidRPr="00576DEB">
        <w:rPr>
          <w:rFonts w:ascii="Times New Roman" w:hAnsi="Times New Roman" w:cs="Times New Roman"/>
        </w:rPr>
        <w:t>przedsięwzięciach o nazwie:</w:t>
      </w:r>
    </w:p>
    <w:p w:rsidR="00576DEB" w:rsidRPr="00576DEB" w:rsidRDefault="00576DEB"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576DEB">
        <w:rPr>
          <w:rFonts w:ascii="Times New Roman" w:hAnsi="Times New Roman" w:cs="Times New Roman"/>
        </w:rPr>
        <w:t xml:space="preserve">-  </w:t>
      </w:r>
      <w:r w:rsidR="007C21F7">
        <w:rPr>
          <w:rFonts w:ascii="Times New Roman" w:hAnsi="Times New Roman" w:cs="Times New Roman"/>
        </w:rPr>
        <w:t>„</w:t>
      </w:r>
      <w:r w:rsidRPr="003065D7">
        <w:rPr>
          <w:rFonts w:ascii="Times New Roman" w:eastAsia="Times New Roman" w:hAnsi="Times New Roman" w:cs="Times New Roman"/>
        </w:rPr>
        <w:t>Budowa sieci kanalizacji sanitarnej w m. Nowa Święta</w:t>
      </w:r>
      <w:r w:rsidR="007C21F7">
        <w:rPr>
          <w:rFonts w:ascii="Times New Roman" w:eastAsia="Times New Roman" w:hAnsi="Times New Roman" w:cs="Times New Roman"/>
        </w:rPr>
        <w:t>” – zmniejszenie o kwotę 27</w:t>
      </w:r>
      <w:r w:rsidR="00631B74">
        <w:rPr>
          <w:rFonts w:ascii="Times New Roman" w:eastAsia="Times New Roman" w:hAnsi="Times New Roman" w:cs="Times New Roman"/>
        </w:rPr>
        <w:t>2</w:t>
      </w:r>
      <w:r w:rsidR="007C21F7">
        <w:rPr>
          <w:rFonts w:ascii="Times New Roman" w:eastAsia="Times New Roman" w:hAnsi="Times New Roman" w:cs="Times New Roman"/>
        </w:rPr>
        <w:t>.000 zł,</w:t>
      </w:r>
    </w:p>
    <w:p w:rsidR="00576DEB" w:rsidRPr="00576DEB" w:rsidRDefault="007C21F7"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576DEB" w:rsidRPr="003065D7">
        <w:rPr>
          <w:rFonts w:ascii="Times New Roman" w:eastAsia="Times New Roman" w:hAnsi="Times New Roman" w:cs="Times New Roman"/>
        </w:rPr>
        <w:t>Budowa drogi w m. Klukowo ("na nasypie")</w:t>
      </w:r>
      <w:r>
        <w:rPr>
          <w:rFonts w:ascii="Times New Roman" w:eastAsia="Times New Roman" w:hAnsi="Times New Roman" w:cs="Times New Roman"/>
        </w:rPr>
        <w:t>” – zwiększenie o kwotę 2.000 zł,</w:t>
      </w:r>
    </w:p>
    <w:p w:rsidR="00576DEB" w:rsidRPr="00576DEB" w:rsidRDefault="007C21F7"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576DEB" w:rsidRPr="003065D7">
        <w:rPr>
          <w:rFonts w:ascii="Times New Roman" w:eastAsia="Times New Roman" w:hAnsi="Times New Roman" w:cs="Times New Roman"/>
        </w:rPr>
        <w:t>Przebudowa budynku socjalno-gospodarczego przy Urzędzie Gminy Złotów</w:t>
      </w:r>
      <w:r>
        <w:rPr>
          <w:rFonts w:ascii="Times New Roman" w:eastAsia="Times New Roman" w:hAnsi="Times New Roman" w:cs="Times New Roman"/>
        </w:rPr>
        <w:t>” – zwiększenie o kwotę 337.000 zł,</w:t>
      </w:r>
    </w:p>
    <w:p w:rsidR="00576DEB" w:rsidRDefault="007C21F7"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r w:rsidR="00576DEB" w:rsidRPr="003065D7">
        <w:rPr>
          <w:rFonts w:ascii="Times New Roman" w:eastAsia="Times New Roman" w:hAnsi="Times New Roman" w:cs="Times New Roman"/>
        </w:rPr>
        <w:t>Budowa szatni sportowej - budynku sanitarno-gospodarczego w Rudnej</w:t>
      </w:r>
      <w:r>
        <w:rPr>
          <w:rFonts w:ascii="Times New Roman" w:eastAsia="Times New Roman" w:hAnsi="Times New Roman" w:cs="Times New Roman"/>
        </w:rPr>
        <w:t>” – zwiększenie o 170.000 zł.</w:t>
      </w:r>
    </w:p>
    <w:p w:rsidR="002458EC" w:rsidRPr="00576DEB" w:rsidRDefault="002458EC" w:rsidP="00576DEB">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576DEB" w:rsidRPr="00576DEB" w:rsidRDefault="00576DEB" w:rsidP="005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76DEB">
        <w:rPr>
          <w:rFonts w:ascii="Times New Roman" w:hAnsi="Times New Roman" w:cs="Times New Roman"/>
        </w:rPr>
        <w:t>Uwzględniając podpisane już umowy na wykonanie przedsięwzięć, zmniejszone zostały odpowiednio limity zobowiązań.</w:t>
      </w:r>
    </w:p>
    <w:sectPr w:rsidR="00576DEB" w:rsidRPr="00576DEB" w:rsidSect="00B23416">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F9" w:rsidRDefault="00846BF9" w:rsidP="00211500">
      <w:pPr>
        <w:spacing w:after="0" w:line="240" w:lineRule="auto"/>
      </w:pPr>
      <w:r>
        <w:separator/>
      </w:r>
    </w:p>
  </w:endnote>
  <w:endnote w:type="continuationSeparator" w:id="0">
    <w:p w:rsidR="00846BF9" w:rsidRDefault="00846BF9"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F9" w:rsidRDefault="00846BF9" w:rsidP="00211500">
      <w:pPr>
        <w:spacing w:after="0" w:line="240" w:lineRule="auto"/>
      </w:pPr>
      <w:r>
        <w:separator/>
      </w:r>
    </w:p>
  </w:footnote>
  <w:footnote w:type="continuationSeparator" w:id="0">
    <w:p w:rsidR="00846BF9" w:rsidRDefault="00846BF9"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101D29" w:rsidRDefault="00101D29">
        <w:pPr>
          <w:pStyle w:val="Nagwek"/>
          <w:jc w:val="center"/>
        </w:pPr>
        <w:r w:rsidRPr="00DD59F2">
          <w:rPr>
            <w:rFonts w:ascii="Times New Roman" w:hAnsi="Times New Roman" w:cs="Times New Roman"/>
          </w:rPr>
          <w:fldChar w:fldCharType="begin"/>
        </w:r>
        <w:r w:rsidRPr="00DD59F2">
          <w:rPr>
            <w:rFonts w:ascii="Times New Roman" w:hAnsi="Times New Roman" w:cs="Times New Roman"/>
          </w:rPr>
          <w:instrText xml:space="preserve"> PAGE   \* MERGEFORMAT </w:instrText>
        </w:r>
        <w:r w:rsidRPr="00DD59F2">
          <w:rPr>
            <w:rFonts w:ascii="Times New Roman" w:hAnsi="Times New Roman" w:cs="Times New Roman"/>
          </w:rPr>
          <w:fldChar w:fldCharType="separate"/>
        </w:r>
        <w:r w:rsidR="004D6AB5">
          <w:rPr>
            <w:rFonts w:ascii="Times New Roman" w:hAnsi="Times New Roman" w:cs="Times New Roman"/>
            <w:noProof/>
          </w:rPr>
          <w:t>16</w:t>
        </w:r>
        <w:r w:rsidRPr="00DD59F2">
          <w:rPr>
            <w:rFonts w:ascii="Times New Roman" w:hAnsi="Times New Roman" w:cs="Times New Roman"/>
            <w:noProof/>
          </w:rPr>
          <w:fldChar w:fldCharType="end"/>
        </w:r>
      </w:p>
    </w:sdtContent>
  </w:sdt>
  <w:p w:rsidR="00101D29" w:rsidRDefault="00101D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246D5"/>
    <w:rsid w:val="00024DC1"/>
    <w:rsid w:val="00040736"/>
    <w:rsid w:val="0004481B"/>
    <w:rsid w:val="000704FD"/>
    <w:rsid w:val="00070F90"/>
    <w:rsid w:val="0007504F"/>
    <w:rsid w:val="0008115E"/>
    <w:rsid w:val="000910BB"/>
    <w:rsid w:val="00092685"/>
    <w:rsid w:val="00094B7A"/>
    <w:rsid w:val="00094EE5"/>
    <w:rsid w:val="000A0F10"/>
    <w:rsid w:val="000B43EC"/>
    <w:rsid w:val="000B4FF4"/>
    <w:rsid w:val="000B5CE5"/>
    <w:rsid w:val="000C02D0"/>
    <w:rsid w:val="000C60B9"/>
    <w:rsid w:val="000D0A6C"/>
    <w:rsid w:val="000D1FD1"/>
    <w:rsid w:val="000F46C3"/>
    <w:rsid w:val="000F53D3"/>
    <w:rsid w:val="00101423"/>
    <w:rsid w:val="00101D29"/>
    <w:rsid w:val="00126E3B"/>
    <w:rsid w:val="00152CD8"/>
    <w:rsid w:val="00153667"/>
    <w:rsid w:val="00161C53"/>
    <w:rsid w:val="00162387"/>
    <w:rsid w:val="001647CF"/>
    <w:rsid w:val="001648BD"/>
    <w:rsid w:val="00166946"/>
    <w:rsid w:val="0016698E"/>
    <w:rsid w:val="00177587"/>
    <w:rsid w:val="00187999"/>
    <w:rsid w:val="001968C0"/>
    <w:rsid w:val="001A1C19"/>
    <w:rsid w:val="001B0C09"/>
    <w:rsid w:val="001B388E"/>
    <w:rsid w:val="001D2972"/>
    <w:rsid w:val="001E1EDB"/>
    <w:rsid w:val="001E7113"/>
    <w:rsid w:val="001F0D29"/>
    <w:rsid w:val="001F5895"/>
    <w:rsid w:val="002003FD"/>
    <w:rsid w:val="00202143"/>
    <w:rsid w:val="0020471C"/>
    <w:rsid w:val="00205AB5"/>
    <w:rsid w:val="00211500"/>
    <w:rsid w:val="00211630"/>
    <w:rsid w:val="00212162"/>
    <w:rsid w:val="0021707C"/>
    <w:rsid w:val="00220A72"/>
    <w:rsid w:val="00233BEB"/>
    <w:rsid w:val="002458EC"/>
    <w:rsid w:val="002542EF"/>
    <w:rsid w:val="00256972"/>
    <w:rsid w:val="00257F64"/>
    <w:rsid w:val="00260D2E"/>
    <w:rsid w:val="002641AF"/>
    <w:rsid w:val="00264508"/>
    <w:rsid w:val="00266928"/>
    <w:rsid w:val="0027049E"/>
    <w:rsid w:val="0028042B"/>
    <w:rsid w:val="002821D5"/>
    <w:rsid w:val="002A2441"/>
    <w:rsid w:val="002B7423"/>
    <w:rsid w:val="002D2724"/>
    <w:rsid w:val="002E15D3"/>
    <w:rsid w:val="002E5D56"/>
    <w:rsid w:val="002F00AA"/>
    <w:rsid w:val="002F3160"/>
    <w:rsid w:val="0030593D"/>
    <w:rsid w:val="00305EA7"/>
    <w:rsid w:val="003065D7"/>
    <w:rsid w:val="00321A9F"/>
    <w:rsid w:val="00330EAD"/>
    <w:rsid w:val="00337ED6"/>
    <w:rsid w:val="00340AAF"/>
    <w:rsid w:val="00350508"/>
    <w:rsid w:val="00352908"/>
    <w:rsid w:val="00371954"/>
    <w:rsid w:val="003903BD"/>
    <w:rsid w:val="003A0C55"/>
    <w:rsid w:val="003A4F61"/>
    <w:rsid w:val="003A4F7F"/>
    <w:rsid w:val="003B7581"/>
    <w:rsid w:val="003D11B0"/>
    <w:rsid w:val="003E145E"/>
    <w:rsid w:val="004005E6"/>
    <w:rsid w:val="00407BC7"/>
    <w:rsid w:val="00416335"/>
    <w:rsid w:val="00421FC9"/>
    <w:rsid w:val="0044099E"/>
    <w:rsid w:val="00451232"/>
    <w:rsid w:val="004734B2"/>
    <w:rsid w:val="004952A5"/>
    <w:rsid w:val="004A6A2D"/>
    <w:rsid w:val="004B0D90"/>
    <w:rsid w:val="004C0264"/>
    <w:rsid w:val="004D61E6"/>
    <w:rsid w:val="004D6AB5"/>
    <w:rsid w:val="004E1D67"/>
    <w:rsid w:val="004F670C"/>
    <w:rsid w:val="004F6816"/>
    <w:rsid w:val="005038DF"/>
    <w:rsid w:val="00504E51"/>
    <w:rsid w:val="00512734"/>
    <w:rsid w:val="0052506D"/>
    <w:rsid w:val="00527F5D"/>
    <w:rsid w:val="00546754"/>
    <w:rsid w:val="00554471"/>
    <w:rsid w:val="0056011E"/>
    <w:rsid w:val="0056567E"/>
    <w:rsid w:val="00567D8B"/>
    <w:rsid w:val="00574B79"/>
    <w:rsid w:val="0057598C"/>
    <w:rsid w:val="00576DEB"/>
    <w:rsid w:val="00577883"/>
    <w:rsid w:val="00590886"/>
    <w:rsid w:val="00597686"/>
    <w:rsid w:val="005B376A"/>
    <w:rsid w:val="005C4A77"/>
    <w:rsid w:val="005C6171"/>
    <w:rsid w:val="005C680D"/>
    <w:rsid w:val="005C7F29"/>
    <w:rsid w:val="005E1AFD"/>
    <w:rsid w:val="005E1C19"/>
    <w:rsid w:val="005E20EE"/>
    <w:rsid w:val="005E4E57"/>
    <w:rsid w:val="005E7DAF"/>
    <w:rsid w:val="005F5479"/>
    <w:rsid w:val="00600135"/>
    <w:rsid w:val="00601857"/>
    <w:rsid w:val="00604701"/>
    <w:rsid w:val="00607B6D"/>
    <w:rsid w:val="00610726"/>
    <w:rsid w:val="00611AF8"/>
    <w:rsid w:val="00617220"/>
    <w:rsid w:val="00624463"/>
    <w:rsid w:val="00625275"/>
    <w:rsid w:val="00631B74"/>
    <w:rsid w:val="00646417"/>
    <w:rsid w:val="00647E56"/>
    <w:rsid w:val="00655E13"/>
    <w:rsid w:val="00661612"/>
    <w:rsid w:val="00675494"/>
    <w:rsid w:val="00682A2E"/>
    <w:rsid w:val="006848FC"/>
    <w:rsid w:val="00686EBC"/>
    <w:rsid w:val="00690761"/>
    <w:rsid w:val="00693541"/>
    <w:rsid w:val="0069524C"/>
    <w:rsid w:val="006A55F6"/>
    <w:rsid w:val="006B32A7"/>
    <w:rsid w:val="006B5EBA"/>
    <w:rsid w:val="006C525B"/>
    <w:rsid w:val="006E03EA"/>
    <w:rsid w:val="007032BB"/>
    <w:rsid w:val="0072162F"/>
    <w:rsid w:val="007337F4"/>
    <w:rsid w:val="00747667"/>
    <w:rsid w:val="0076125E"/>
    <w:rsid w:val="00763CAC"/>
    <w:rsid w:val="00771237"/>
    <w:rsid w:val="00771DC2"/>
    <w:rsid w:val="00784382"/>
    <w:rsid w:val="007844A0"/>
    <w:rsid w:val="00790BD6"/>
    <w:rsid w:val="007974E8"/>
    <w:rsid w:val="007B5796"/>
    <w:rsid w:val="007B7438"/>
    <w:rsid w:val="007C1767"/>
    <w:rsid w:val="007C21F7"/>
    <w:rsid w:val="007D1BDC"/>
    <w:rsid w:val="007D2C05"/>
    <w:rsid w:val="007F0BCB"/>
    <w:rsid w:val="007F3D4F"/>
    <w:rsid w:val="00811015"/>
    <w:rsid w:val="00817B90"/>
    <w:rsid w:val="0082086D"/>
    <w:rsid w:val="00821E83"/>
    <w:rsid w:val="00827D71"/>
    <w:rsid w:val="00834C16"/>
    <w:rsid w:val="00846BF9"/>
    <w:rsid w:val="0085592B"/>
    <w:rsid w:val="00872392"/>
    <w:rsid w:val="00874A43"/>
    <w:rsid w:val="00884ED5"/>
    <w:rsid w:val="00886EDC"/>
    <w:rsid w:val="00895EE2"/>
    <w:rsid w:val="008A68AB"/>
    <w:rsid w:val="008B1BFF"/>
    <w:rsid w:val="008C51C3"/>
    <w:rsid w:val="008D7BA1"/>
    <w:rsid w:val="008F1F74"/>
    <w:rsid w:val="008F55AC"/>
    <w:rsid w:val="00901BC8"/>
    <w:rsid w:val="00906849"/>
    <w:rsid w:val="00913B08"/>
    <w:rsid w:val="00945064"/>
    <w:rsid w:val="00953F6A"/>
    <w:rsid w:val="009655B1"/>
    <w:rsid w:val="0097062A"/>
    <w:rsid w:val="009730CB"/>
    <w:rsid w:val="00980965"/>
    <w:rsid w:val="00985EAB"/>
    <w:rsid w:val="009C1930"/>
    <w:rsid w:val="009C3700"/>
    <w:rsid w:val="009D1730"/>
    <w:rsid w:val="009D52A0"/>
    <w:rsid w:val="009D5A9C"/>
    <w:rsid w:val="009E3327"/>
    <w:rsid w:val="009F0905"/>
    <w:rsid w:val="00A015E5"/>
    <w:rsid w:val="00A10AF1"/>
    <w:rsid w:val="00A14C07"/>
    <w:rsid w:val="00A16A2A"/>
    <w:rsid w:val="00A3607F"/>
    <w:rsid w:val="00A363A1"/>
    <w:rsid w:val="00A456A5"/>
    <w:rsid w:val="00A46831"/>
    <w:rsid w:val="00A57604"/>
    <w:rsid w:val="00A77735"/>
    <w:rsid w:val="00A81187"/>
    <w:rsid w:val="00A96425"/>
    <w:rsid w:val="00AA0C7D"/>
    <w:rsid w:val="00AC0074"/>
    <w:rsid w:val="00AC0570"/>
    <w:rsid w:val="00AD70A0"/>
    <w:rsid w:val="00AE741B"/>
    <w:rsid w:val="00B2061F"/>
    <w:rsid w:val="00B20661"/>
    <w:rsid w:val="00B2072A"/>
    <w:rsid w:val="00B23416"/>
    <w:rsid w:val="00B302B9"/>
    <w:rsid w:val="00B31672"/>
    <w:rsid w:val="00B342F5"/>
    <w:rsid w:val="00B36233"/>
    <w:rsid w:val="00B42890"/>
    <w:rsid w:val="00B47C9A"/>
    <w:rsid w:val="00B50FCA"/>
    <w:rsid w:val="00B52E8B"/>
    <w:rsid w:val="00B55BE2"/>
    <w:rsid w:val="00B662F6"/>
    <w:rsid w:val="00B6631D"/>
    <w:rsid w:val="00B717A8"/>
    <w:rsid w:val="00B73CCD"/>
    <w:rsid w:val="00B9448F"/>
    <w:rsid w:val="00BA20D0"/>
    <w:rsid w:val="00BA3505"/>
    <w:rsid w:val="00BA3E9C"/>
    <w:rsid w:val="00BB596D"/>
    <w:rsid w:val="00BC7794"/>
    <w:rsid w:val="00BC7AAE"/>
    <w:rsid w:val="00BD410D"/>
    <w:rsid w:val="00BE0CB7"/>
    <w:rsid w:val="00BF3343"/>
    <w:rsid w:val="00C006F1"/>
    <w:rsid w:val="00C2110C"/>
    <w:rsid w:val="00C367D0"/>
    <w:rsid w:val="00C42A3E"/>
    <w:rsid w:val="00C457FC"/>
    <w:rsid w:val="00C47548"/>
    <w:rsid w:val="00C47AB4"/>
    <w:rsid w:val="00C768E3"/>
    <w:rsid w:val="00C8733D"/>
    <w:rsid w:val="00C87E40"/>
    <w:rsid w:val="00C97995"/>
    <w:rsid w:val="00CA43E5"/>
    <w:rsid w:val="00CA5E6B"/>
    <w:rsid w:val="00CA6AE4"/>
    <w:rsid w:val="00CC1F57"/>
    <w:rsid w:val="00CC29D9"/>
    <w:rsid w:val="00CC67D7"/>
    <w:rsid w:val="00CD1894"/>
    <w:rsid w:val="00CE496B"/>
    <w:rsid w:val="00CE54D1"/>
    <w:rsid w:val="00CF2622"/>
    <w:rsid w:val="00CF5873"/>
    <w:rsid w:val="00D0415B"/>
    <w:rsid w:val="00D0568D"/>
    <w:rsid w:val="00D11E2C"/>
    <w:rsid w:val="00D15908"/>
    <w:rsid w:val="00D318AB"/>
    <w:rsid w:val="00D328A0"/>
    <w:rsid w:val="00D43199"/>
    <w:rsid w:val="00D47A12"/>
    <w:rsid w:val="00D5064E"/>
    <w:rsid w:val="00D515EE"/>
    <w:rsid w:val="00D56FC9"/>
    <w:rsid w:val="00D62394"/>
    <w:rsid w:val="00D633C8"/>
    <w:rsid w:val="00D63494"/>
    <w:rsid w:val="00D65641"/>
    <w:rsid w:val="00D7584A"/>
    <w:rsid w:val="00D75C1B"/>
    <w:rsid w:val="00D91FAC"/>
    <w:rsid w:val="00D96F9A"/>
    <w:rsid w:val="00DC1FE9"/>
    <w:rsid w:val="00DD1233"/>
    <w:rsid w:val="00DD59F2"/>
    <w:rsid w:val="00DE22FD"/>
    <w:rsid w:val="00DF03F7"/>
    <w:rsid w:val="00E01F46"/>
    <w:rsid w:val="00E20690"/>
    <w:rsid w:val="00E24CD3"/>
    <w:rsid w:val="00E3327E"/>
    <w:rsid w:val="00E3774A"/>
    <w:rsid w:val="00E44813"/>
    <w:rsid w:val="00E47C3F"/>
    <w:rsid w:val="00E61494"/>
    <w:rsid w:val="00E832F9"/>
    <w:rsid w:val="00E83A2D"/>
    <w:rsid w:val="00E97D28"/>
    <w:rsid w:val="00EA1056"/>
    <w:rsid w:val="00EC3F24"/>
    <w:rsid w:val="00ED4331"/>
    <w:rsid w:val="00EE6F51"/>
    <w:rsid w:val="00EF40D9"/>
    <w:rsid w:val="00F02C9C"/>
    <w:rsid w:val="00F1550A"/>
    <w:rsid w:val="00F3341F"/>
    <w:rsid w:val="00F4003D"/>
    <w:rsid w:val="00F62AE7"/>
    <w:rsid w:val="00F7593F"/>
    <w:rsid w:val="00F82F13"/>
    <w:rsid w:val="00F84561"/>
    <w:rsid w:val="00F861DE"/>
    <w:rsid w:val="00F9137A"/>
    <w:rsid w:val="00F97C6E"/>
    <w:rsid w:val="00FB327B"/>
    <w:rsid w:val="00FC108E"/>
    <w:rsid w:val="00FD050E"/>
    <w:rsid w:val="00FD5D44"/>
    <w:rsid w:val="00FE2051"/>
    <w:rsid w:val="00FE3214"/>
    <w:rsid w:val="00FE449C"/>
    <w:rsid w:val="00FE4CA8"/>
    <w:rsid w:val="00FE58D6"/>
    <w:rsid w:val="00FE7857"/>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88055025">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0407352">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43975952">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52270430">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1407720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2527373">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20261999">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897081589">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BB5C7-2363-479D-B3B2-3CDF5509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5360</Words>
  <Characters>32161</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Emilia Konopińska-Nochowicz</cp:lastModifiedBy>
  <cp:revision>43</cp:revision>
  <cp:lastPrinted>2019-06-03T05:28:00Z</cp:lastPrinted>
  <dcterms:created xsi:type="dcterms:W3CDTF">2019-04-15T10:35:00Z</dcterms:created>
  <dcterms:modified xsi:type="dcterms:W3CDTF">2019-06-03T07:25:00Z</dcterms:modified>
</cp:coreProperties>
</file>