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D5AA9">
        <w:rPr>
          <w:rFonts w:ascii="Times New Roman" w:hAnsi="Times New Roman"/>
          <w:b/>
          <w:bCs/>
          <w:sz w:val="22"/>
          <w:szCs w:val="22"/>
        </w:rPr>
        <w:t>UCHWAŁA Nr XI.</w:t>
      </w:r>
      <w:r w:rsidR="004E6107">
        <w:rPr>
          <w:rFonts w:ascii="Times New Roman" w:hAnsi="Times New Roman"/>
          <w:b/>
          <w:bCs/>
          <w:sz w:val="22"/>
          <w:szCs w:val="22"/>
        </w:rPr>
        <w:t>84</w:t>
      </w:r>
      <w:r w:rsidRPr="000D5AA9">
        <w:rPr>
          <w:rFonts w:ascii="Times New Roman" w:hAnsi="Times New Roman"/>
          <w:b/>
          <w:bCs/>
          <w:sz w:val="22"/>
          <w:szCs w:val="22"/>
        </w:rPr>
        <w:t xml:space="preserve">.2019 </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D5AA9">
        <w:rPr>
          <w:rFonts w:ascii="Times New Roman" w:hAnsi="Times New Roman"/>
          <w:b/>
          <w:bCs/>
          <w:sz w:val="22"/>
          <w:szCs w:val="22"/>
        </w:rPr>
        <w:t>RADY GMINY ZŁOTÓW</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D5AA9">
        <w:rPr>
          <w:rFonts w:ascii="Times New Roman" w:hAnsi="Times New Roman"/>
          <w:b/>
          <w:bCs/>
          <w:sz w:val="22"/>
          <w:szCs w:val="22"/>
        </w:rPr>
        <w:t xml:space="preserve">z dnia 29 sierpnia 2019 r. </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D5AA9">
        <w:rPr>
          <w:rFonts w:ascii="Times New Roman" w:hAnsi="Times New Roman"/>
          <w:b/>
          <w:bCs/>
          <w:sz w:val="22"/>
          <w:szCs w:val="22"/>
        </w:rPr>
        <w:t xml:space="preserve">w sprawie wprowadzenia zmian do uchwały w sprawie uchwalenia </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0D5AA9">
        <w:rPr>
          <w:rFonts w:ascii="Times New Roman" w:hAnsi="Times New Roman"/>
          <w:b/>
          <w:bCs/>
          <w:sz w:val="22"/>
          <w:szCs w:val="22"/>
        </w:rPr>
        <w:t xml:space="preserve">Wieloletniej Prognozy Finansowej Gminy Złotów </w:t>
      </w:r>
      <w:r w:rsidRPr="000D5AA9">
        <w:rPr>
          <w:rFonts w:ascii="Times New Roman" w:hAnsi="Times New Roman"/>
          <w:b/>
          <w:bCs/>
          <w:sz w:val="22"/>
          <w:szCs w:val="22"/>
        </w:rPr>
        <w:br/>
        <w:t>na lata 2019-2026</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D5AA9">
        <w:rPr>
          <w:rFonts w:ascii="Times New Roman" w:hAnsi="Times New Roman"/>
          <w:sz w:val="22"/>
          <w:szCs w:val="22"/>
        </w:rPr>
        <w:tab/>
        <w:t xml:space="preserve">Na podstawie art. 18 ust. 2 pkt 15 ustawy z dnia 8 marca 1990 r. o samorządzie gminnym (Dz. U. z 2019 r. poz. 506) oraz art. 226, 227, 228, 230 ust. 6 ustawy z dnia 27 sierpnia 2009 r. </w:t>
      </w:r>
      <w:r>
        <w:rPr>
          <w:rFonts w:ascii="Times New Roman" w:hAnsi="Times New Roman"/>
          <w:sz w:val="22"/>
          <w:szCs w:val="22"/>
        </w:rPr>
        <w:br/>
      </w:r>
      <w:r w:rsidRPr="000D5AA9">
        <w:rPr>
          <w:rFonts w:ascii="Times New Roman" w:hAnsi="Times New Roman"/>
          <w:sz w:val="22"/>
          <w:szCs w:val="22"/>
        </w:rPr>
        <w:t xml:space="preserve">o finansach publicznych (Dz. U. z 2019 r. poz. 869 z </w:t>
      </w:r>
      <w:proofErr w:type="spellStart"/>
      <w:r w:rsidRPr="000D5AA9">
        <w:rPr>
          <w:rFonts w:ascii="Times New Roman" w:hAnsi="Times New Roman"/>
          <w:sz w:val="22"/>
          <w:szCs w:val="22"/>
        </w:rPr>
        <w:t>późn</w:t>
      </w:r>
      <w:proofErr w:type="spellEnd"/>
      <w:r w:rsidRPr="000D5AA9">
        <w:rPr>
          <w:rFonts w:ascii="Times New Roman" w:hAnsi="Times New Roman"/>
          <w:sz w:val="22"/>
          <w:szCs w:val="22"/>
        </w:rPr>
        <w:t xml:space="preserve">. zm.) Rada Gminy Złotów uchwala, </w:t>
      </w:r>
      <w:r>
        <w:rPr>
          <w:rFonts w:ascii="Times New Roman" w:hAnsi="Times New Roman"/>
          <w:sz w:val="22"/>
          <w:szCs w:val="22"/>
        </w:rPr>
        <w:br/>
      </w:r>
      <w:r w:rsidRPr="000D5AA9">
        <w:rPr>
          <w:rFonts w:ascii="Times New Roman" w:hAnsi="Times New Roman"/>
          <w:sz w:val="22"/>
          <w:szCs w:val="22"/>
        </w:rPr>
        <w:t>co następuje:</w:t>
      </w: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b/>
          <w:bCs/>
          <w:sz w:val="22"/>
          <w:szCs w:val="22"/>
        </w:rPr>
      </w:pP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0D5AA9">
        <w:rPr>
          <w:rFonts w:ascii="Times New Roman" w:hAnsi="Times New Roman"/>
          <w:sz w:val="22"/>
          <w:szCs w:val="22"/>
        </w:rPr>
        <w:t xml:space="preserve">W uchwale Nr III.19.2018 Rady Gminy Złotów z dnia 27 grudnia 2018 r. w sprawie uchwalenia Wieloletniej Prognozy Finansowej na lata 2019-2026, zmienionej uchwałą Rady Gminy Złotów </w:t>
      </w:r>
      <w:r w:rsidRPr="000D5AA9">
        <w:rPr>
          <w:rFonts w:ascii="Times New Roman" w:hAnsi="Times New Roman"/>
          <w:sz w:val="22"/>
          <w:szCs w:val="22"/>
        </w:rPr>
        <w:br/>
        <w:t>Nr IV.25.2019 z dnia 31 stycznia 2019 r., Nr V.32.2019 z dnia 26 lutego 2019 r., Nr VI.40.2019                z dnia 28 marca 2019 r., Nr VII.50.2019 z dnia 25 kwietnia 2019 r., Nr VIII.65.2019 z dnia 30 maja 2019 r., Nr IX.68.2019 z dnia 27 czerwca 2019 r. oraz Nr X.78.2019 z dnia 31 lipca 2019 r. wprowadza się zmiany:</w:t>
      </w: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0D5AA9">
        <w:rPr>
          <w:rFonts w:ascii="Times New Roman" w:hAnsi="Times New Roman"/>
          <w:b/>
          <w:bCs/>
          <w:sz w:val="22"/>
          <w:szCs w:val="22"/>
        </w:rPr>
        <w:t xml:space="preserve">      § 1.</w:t>
      </w:r>
      <w:r w:rsidRPr="000D5AA9">
        <w:rPr>
          <w:rFonts w:ascii="Times New Roman" w:hAnsi="Times New Roman"/>
          <w:sz w:val="22"/>
          <w:szCs w:val="22"/>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D5AA9">
        <w:rPr>
          <w:rFonts w:ascii="Times New Roman" w:hAnsi="Times New Roman"/>
          <w:b/>
          <w:bCs/>
          <w:sz w:val="22"/>
          <w:szCs w:val="22"/>
        </w:rPr>
        <w:t xml:space="preserve">     § 2. </w:t>
      </w:r>
      <w:r w:rsidRPr="000D5AA9">
        <w:rPr>
          <w:rFonts w:ascii="Times New Roman" w:hAnsi="Times New Roman"/>
          <w:sz w:val="22"/>
          <w:szCs w:val="22"/>
        </w:rPr>
        <w:t>Załącznik Nr 2 do uchwały, stanowiący wykaz wieloletnich przedsięwzięć finansowych otrzymuje brzmienie, zgodnie z załącznikiem Nr 2 do niniejszej uchwały.</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D5AA9">
        <w:rPr>
          <w:rFonts w:ascii="Times New Roman" w:hAnsi="Times New Roman"/>
          <w:b/>
          <w:bCs/>
          <w:sz w:val="22"/>
          <w:szCs w:val="22"/>
        </w:rPr>
        <w:t xml:space="preserve">     § 3. </w:t>
      </w:r>
      <w:r w:rsidRPr="000D5AA9">
        <w:rPr>
          <w:rFonts w:ascii="Times New Roman" w:hAnsi="Times New Roman"/>
          <w:sz w:val="22"/>
          <w:szCs w:val="22"/>
        </w:rPr>
        <w:t xml:space="preserve">Wykonanie uchwały powierza się Wójtowi Gminy Złotów. </w:t>
      </w: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0D5AA9" w:rsidRPr="000D5AA9"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0D5AA9">
        <w:rPr>
          <w:rFonts w:ascii="Times New Roman" w:hAnsi="Times New Roman"/>
          <w:b/>
          <w:bCs/>
          <w:sz w:val="22"/>
          <w:szCs w:val="22"/>
        </w:rPr>
        <w:t xml:space="preserve">     § 4.</w:t>
      </w:r>
      <w:r w:rsidRPr="000D5AA9">
        <w:rPr>
          <w:rFonts w:ascii="Times New Roman" w:hAnsi="Times New Roman"/>
          <w:sz w:val="22"/>
          <w:szCs w:val="22"/>
        </w:rPr>
        <w:t xml:space="preserve"> Uchwała wchodzi w życie z dniem podjęcia.</w:t>
      </w: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0D5AA9" w:rsidRPr="000D5AA9" w:rsidRDefault="000D5AA9" w:rsidP="000D5AA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D61281" w:rsidRPr="00D61281" w:rsidRDefault="00D61281" w:rsidP="00D61281">
      <w:pPr>
        <w:spacing w:after="200" w:line="276" w:lineRule="auto"/>
        <w:rPr>
          <w:rFonts w:ascii="Calibri" w:eastAsia="Calibri" w:hAnsi="Calibri"/>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sz w:val="22"/>
          <w:szCs w:val="22"/>
          <w:lang w:eastAsia="pl-PL"/>
        </w:rPr>
      </w:pPr>
    </w:p>
    <w:p w:rsidR="00D61281" w:rsidRPr="00D61281" w:rsidRDefault="00D61281" w:rsidP="00D61281">
      <w:pPr>
        <w:spacing w:after="200" w:line="276" w:lineRule="auto"/>
        <w:rPr>
          <w:rFonts w:ascii="Calibri" w:eastAsia="Times New Roman" w:hAnsi="Calibri"/>
          <w:sz w:val="22"/>
          <w:szCs w:val="22"/>
          <w:lang w:eastAsia="pl-PL"/>
        </w:rPr>
        <w:sectPr w:rsidR="00D61281" w:rsidRPr="00D61281" w:rsidSect="004E6107">
          <w:headerReference w:type="default" r:id="rId8"/>
          <w:pgSz w:w="11894" w:h="15840"/>
          <w:pgMar w:top="1440" w:right="1440" w:bottom="1417" w:left="1440" w:header="708" w:footer="708" w:gutter="0"/>
          <w:cols w:space="708"/>
          <w:noEndnote/>
          <w:titlePg/>
          <w:docGrid w:linePitch="299"/>
        </w:sectPr>
      </w:pPr>
    </w:p>
    <w:p w:rsidR="00D61281" w:rsidRPr="00D61281" w:rsidRDefault="00D61281" w:rsidP="00D61281">
      <w:pPr>
        <w:rPr>
          <w:rFonts w:ascii="Times New Roman" w:eastAsia="Calibri" w:hAnsi="Times New Roman"/>
          <w:b/>
          <w:sz w:val="22"/>
          <w:szCs w:val="22"/>
        </w:rPr>
      </w:pPr>
      <w:r w:rsidRPr="00D61281">
        <w:rPr>
          <w:rFonts w:ascii="Times New Roman" w:eastAsia="Calibri" w:hAnsi="Times New Roman"/>
          <w:b/>
          <w:sz w:val="22"/>
          <w:szCs w:val="22"/>
        </w:rPr>
        <w:lastRenderedPageBreak/>
        <w:t>Wieloletnia Prognoza Finansowa</w:t>
      </w:r>
    </w:p>
    <w:p w:rsidR="00D61281" w:rsidRP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1 do uchwały Nr X</w:t>
      </w:r>
      <w:r w:rsidR="006625C3">
        <w:rPr>
          <w:rFonts w:ascii="Times New Roman" w:eastAsia="Calibri" w:hAnsi="Times New Roman"/>
          <w:b/>
          <w:sz w:val="22"/>
          <w:szCs w:val="22"/>
        </w:rPr>
        <w:t>I</w:t>
      </w:r>
      <w:r w:rsidRPr="00D61281">
        <w:rPr>
          <w:rFonts w:ascii="Times New Roman" w:eastAsia="Calibri" w:hAnsi="Times New Roman"/>
          <w:b/>
          <w:sz w:val="22"/>
          <w:szCs w:val="22"/>
        </w:rPr>
        <w:t>.</w:t>
      </w:r>
      <w:r w:rsidR="004E6107">
        <w:rPr>
          <w:rFonts w:ascii="Times New Roman" w:eastAsia="Calibri" w:hAnsi="Times New Roman"/>
          <w:b/>
          <w:sz w:val="22"/>
          <w:szCs w:val="22"/>
        </w:rPr>
        <w:t>84</w:t>
      </w:r>
      <w:r w:rsidRPr="00D61281">
        <w:rPr>
          <w:rFonts w:ascii="Times New Roman" w:eastAsia="Calibri" w:hAnsi="Times New Roman"/>
          <w:b/>
          <w:sz w:val="22"/>
          <w:szCs w:val="22"/>
        </w:rPr>
        <w:t xml:space="preserve">.2019 Rady Gminy Złotów z dnia </w:t>
      </w:r>
      <w:r w:rsidR="006625C3">
        <w:rPr>
          <w:rFonts w:ascii="Times New Roman" w:eastAsia="Calibri" w:hAnsi="Times New Roman"/>
          <w:b/>
          <w:sz w:val="22"/>
          <w:szCs w:val="22"/>
        </w:rPr>
        <w:t xml:space="preserve">29 sierpnia </w:t>
      </w:r>
      <w:r w:rsidRPr="00D61281">
        <w:rPr>
          <w:rFonts w:ascii="Times New Roman" w:eastAsia="Calibri" w:hAnsi="Times New Roman"/>
          <w:b/>
          <w:sz w:val="22"/>
          <w:szCs w:val="22"/>
        </w:rPr>
        <w:t xml:space="preserve">2019 r. w sprawie wprowadzenia zmian do uchwały </w:t>
      </w:r>
      <w:r w:rsidRPr="00D61281">
        <w:rPr>
          <w:rFonts w:ascii="Times New Roman" w:eastAsia="Calibri" w:hAnsi="Times New Roman"/>
          <w:b/>
          <w:sz w:val="22"/>
          <w:szCs w:val="22"/>
        </w:rPr>
        <w:br/>
        <w:t>w sprawie uchwalenia Wieloletniej Prognozy Finansowej Gminy Złotów na lata 2019 - 2026.</w:t>
      </w:r>
    </w:p>
    <w:p w:rsidR="00D61281" w:rsidRPr="00D61281" w:rsidRDefault="00D61281" w:rsidP="00D61281">
      <w:pPr>
        <w:rPr>
          <w:rFonts w:ascii="Times New Roman" w:eastAsia="Times New Roman" w:hAnsi="Times New Roman"/>
          <w:b/>
          <w:bCs/>
          <w:iCs/>
          <w:color w:val="000000"/>
          <w:sz w:val="22"/>
          <w:szCs w:val="22"/>
          <w:lang w:eastAsia="pl-PL"/>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D61281" w:rsidRPr="00D61281" w:rsidTr="004E6107">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r>
      <w:tr w:rsidR="00D61281" w:rsidRPr="00D61281" w:rsidTr="004E6107">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tytułu dotacji oraz środków przeznaczonych na inwestycje</w:t>
            </w:r>
          </w:p>
        </w:tc>
      </w:tr>
      <w:tr w:rsidR="00D61281" w:rsidRPr="00D61281" w:rsidTr="004E6107">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474" w:type="pct"/>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459" w:type="pct"/>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440" w:type="pct"/>
            <w:vMerge/>
            <w:tcBorders>
              <w:left w:val="single" w:sz="4" w:space="0" w:color="000000"/>
              <w:right w:val="single" w:sz="4" w:space="0" w:color="000000"/>
            </w:tcBorders>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sz w:val="14"/>
                <w:szCs w:val="14"/>
                <w:lang w:eastAsia="pl-PL"/>
              </w:rPr>
              <w:t>1.2.2</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47 700 881,31</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43 816 895,22</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7 217 452,60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4 795 442,00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16 127 306,00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15 279 100,62</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0245A8"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3 883 986,09</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0245A8"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3 698 679,09</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tabs>
          <w:tab w:val="left" w:pos="9795"/>
        </w:tabs>
        <w:spacing w:after="120"/>
        <w:jc w:val="both"/>
        <w:rPr>
          <w:rFonts w:ascii="Times New Roman" w:eastAsia="Calibri" w:hAnsi="Times New Roman"/>
          <w:b/>
          <w:sz w:val="22"/>
          <w:szCs w:val="22"/>
        </w:rPr>
      </w:pPr>
      <w:r w:rsidRPr="00D61281">
        <w:rPr>
          <w:rFonts w:ascii="Times New Roman" w:eastAsia="Calibri" w:hAnsi="Times New Roman"/>
          <w:b/>
          <w:sz w:val="22"/>
          <w:szCs w:val="22"/>
        </w:rPr>
        <w:tab/>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1) Wzór może być stosowany także w układzie pionowym, w którym poszczególne pozycje są przedstawione w kolumnach, a lata w wierszach.</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 xml:space="preserve">2) Zgodnie z art. 227 ustawy z dnia 27 sierpnia 2009 r. o finansach publicznych (Dz. U. z 2013 r. poz. 885 z </w:t>
      </w:r>
      <w:proofErr w:type="spellStart"/>
      <w:r w:rsidRPr="00D61281">
        <w:rPr>
          <w:rFonts w:ascii="Times New Roman" w:eastAsia="Times New Roman" w:hAnsi="Times New Roman"/>
          <w:sz w:val="16"/>
          <w:szCs w:val="16"/>
          <w:lang w:eastAsia="pl-PL"/>
        </w:rPr>
        <w:t>póź</w:t>
      </w:r>
      <w:proofErr w:type="spellEnd"/>
      <w:r w:rsidRPr="00D61281">
        <w:rPr>
          <w:rFonts w:ascii="Times New Roman" w:eastAsia="Times New Roman" w:hAnsi="Times New Roman"/>
          <w:sz w:val="16"/>
          <w:szCs w:val="16"/>
          <w:lang w:eastAsia="pl-PL"/>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 xml:space="preserve">3) W pozycji wykazuje się kwoty wszystkich podatków i opłat pobieranych przez jednostki samorządu terytorialnego, a nie tylko podatków i opłat lokalnych.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D61281" w:rsidRPr="00D61281" w:rsidTr="004E6107">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majątkowe</w:t>
            </w:r>
          </w:p>
        </w:tc>
      </w:tr>
      <w:tr w:rsidR="00D61281" w:rsidRPr="00D61281"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18" w:type="dxa"/>
            <w:vMerge/>
            <w:tcBorders>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275" w:type="dxa"/>
            <w:vMerge/>
            <w:tcBorders>
              <w:left w:val="single" w:sz="4" w:space="0" w:color="000000"/>
              <w:bottom w:val="single" w:sz="4" w:space="0" w:color="000000"/>
              <w:right w:val="single" w:sz="4" w:space="0" w:color="000000"/>
            </w:tcBorders>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2.2</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51 793 901,19</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38 806 001,79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219 000,00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12 987 899,40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10 271 354,00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44 332 430,00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6 192 190,00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5 987 870,00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5 919 500,00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5 970 000,00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44 950 000,00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r>
      <w:tr w:rsidR="00D61281" w:rsidRPr="00D61281"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44 950 000,00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4) W pozycji wykazuje się kwoty dla lat budżetowych 2013-2018.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D61281" w:rsidRPr="00D61281" w:rsidTr="004E6107">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r>
      <w:tr w:rsidR="00D61281" w:rsidRPr="00D61281" w:rsidTr="004E6107">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na pokrycie deficytu </w:t>
            </w:r>
            <w:r w:rsidRPr="00D61281">
              <w:rPr>
                <w:rFonts w:ascii="Times New Roman" w:eastAsia="Times New Roman" w:hAnsi="Times New Roman"/>
                <w:color w:val="000000"/>
                <w:sz w:val="14"/>
                <w:szCs w:val="14"/>
                <w:lang w:eastAsia="pl-PL"/>
              </w:rPr>
              <w:br/>
              <w:t>budżetu</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4.4.1</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-4 093 019,88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6 820 155,76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1 520 155,76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5 300 000,00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2 572 864,12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5) W pozycji wykazuje się w szczególności  kwoty przychodów z tytułu prywatyzacji majątku oraz spłaty pożyczek udzielonych ze środków jednostki.</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D61281" w:rsidRPr="00D61281" w:rsidTr="004E6107">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Rozchody </w:t>
            </w:r>
            <w:r w:rsidRPr="00D61281">
              <w:rPr>
                <w:rFonts w:ascii="Times New Roman" w:eastAsia="Times New Roman" w:hAnsi="Times New Roman"/>
                <w:color w:val="000000"/>
                <w:sz w:val="14"/>
                <w:szCs w:val="14"/>
                <w:lang w:eastAsia="pl-PL"/>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r>
      <w:tr w:rsidR="00D61281" w:rsidRPr="00D61281"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Inne rozchody niezwiązane ze spłatą długu</w:t>
            </w:r>
          </w:p>
        </w:tc>
      </w:tr>
      <w:tr w:rsidR="00D61281" w:rsidRPr="00D61281"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 łączna kwota przypadających na dany rok kwot ustawowych wyłączeń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r>
      <w:tr w:rsidR="00D61281" w:rsidRPr="00D61281" w:rsidTr="004E6107">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przypadających na dany rok kwot ustawowych wyłączeń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przypadających na dany rok kwot ustawowych wyłączeń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przypadających na dany rok kwot ustawowych wyłączeń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5.2</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D61281" w:rsidRPr="00D61281" w:rsidTr="004E6107">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Relacja zrównoważenia wydatków bieżących, o której mowa w art. 242 ustawy</w:t>
            </w:r>
          </w:p>
        </w:tc>
      </w:tr>
      <w:tr w:rsidR="00D61281" w:rsidRPr="00D61281" w:rsidTr="004E6107">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Różnica między dochodami bieżącymi, skorygowanymi o środki     a wydatkami bieżącymi, pomniejszonymi </w:t>
            </w:r>
            <w:r w:rsidRPr="00D61281">
              <w:rPr>
                <w:rFonts w:ascii="Times New Roman" w:eastAsia="Times New Roman" w:hAnsi="Times New Roman"/>
                <w:color w:val="000000"/>
                <w:sz w:val="14"/>
                <w:szCs w:val="14"/>
                <w:lang w:eastAsia="pl-PL"/>
              </w:rPr>
              <w:br/>
              <w:t>o wydatki</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proofErr w:type="spellStart"/>
            <w:r w:rsidRPr="00D61281">
              <w:rPr>
                <w:rFonts w:ascii="Times New Roman" w:eastAsia="Times New Roman" w:hAnsi="Times New Roman"/>
                <w:color w:val="000000"/>
                <w:sz w:val="14"/>
                <w:szCs w:val="14"/>
                <w:lang w:eastAsia="pl-PL"/>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8.2</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11 595 500,00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5 010 893,43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4E6107"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6 531 049,19</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9 500 500,00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7 551 940,00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7 905 500,00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7 587 190,00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6 210 500,00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7 482 870,00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4 530 000,00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2 900 000,00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r w:rsidR="00D61281" w:rsidRPr="00D61281"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7 600 000,00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7) Skorygowanie o środki określone w przepisach dotyczy w szczególności powiększenia o nadwyżkę budżetową z lat ubiegłych, zgodnie z art. 242 ustawy.</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8) Pomniejszenie wydatków bieżących, zgodnie z art. 36 ust. 1 pkt 1 ustawy z dnia 7 grudnia 2012 r. o zmianie niektórych ustaw w związku z realizacją ustawy budżetowej, dotyczy lat 2013-2015.</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D61281" w:rsidRPr="00D61281" w:rsidTr="004E6107">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Wskaźnik spłaty zobowiązań</w:t>
            </w:r>
          </w:p>
        </w:tc>
      </w:tr>
      <w:tr w:rsidR="00D61281" w:rsidRPr="00D61281" w:rsidTr="004E6107">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Dopuszczalny wskaźnik spłaty zobowiązań określony w art. 243 ustawy, po uwzględnieniu ustawowych </w:t>
            </w:r>
            <w:r w:rsidRPr="00D61281">
              <w:rPr>
                <w:rFonts w:ascii="Times New Roman" w:eastAsia="Times New Roman" w:hAnsi="Times New Roman"/>
                <w:color w:val="000000"/>
                <w:sz w:val="14"/>
                <w:szCs w:val="14"/>
                <w:lang w:eastAsia="pl-PL"/>
              </w:rPr>
              <w:br/>
              <w:t xml:space="preserve">wyłączeń, </w:t>
            </w:r>
            <w:r w:rsidRPr="00D61281">
              <w:rPr>
                <w:rFonts w:ascii="Times New Roman" w:eastAsia="Times New Roman" w:hAnsi="Times New Roman"/>
                <w:color w:val="000000"/>
                <w:sz w:val="14"/>
                <w:szCs w:val="14"/>
                <w:lang w:eastAsia="pl-PL"/>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9.7.1</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A83894">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w:t>
            </w:r>
            <w:r w:rsidR="00A83894">
              <w:rPr>
                <w:rFonts w:ascii="Times New Roman" w:eastAsia="Times New Roman" w:hAnsi="Times New Roman"/>
                <w:sz w:val="14"/>
                <w:szCs w:val="14"/>
                <w:lang w:eastAsia="pl-PL"/>
              </w:rPr>
              <w:t>18</w:t>
            </w:r>
            <w:r w:rsidRPr="00D61281">
              <w:rPr>
                <w:rFonts w:ascii="Times New Roman" w:eastAsia="Times New Roman" w:hAnsi="Times New Roman"/>
                <w:sz w:val="14"/>
                <w:szCs w:val="14"/>
                <w:lang w:eastAsia="pl-PL"/>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A83894">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w:t>
            </w:r>
            <w:r w:rsidR="00A83894">
              <w:rPr>
                <w:rFonts w:ascii="Times New Roman" w:eastAsia="Times New Roman" w:hAnsi="Times New Roman"/>
                <w:sz w:val="14"/>
                <w:szCs w:val="14"/>
                <w:lang w:eastAsia="pl-PL"/>
              </w:rPr>
              <w:t>07</w:t>
            </w:r>
            <w:r w:rsidRPr="00D61281">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A83894">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w:t>
            </w:r>
            <w:r w:rsidR="00A83894">
              <w:rPr>
                <w:rFonts w:ascii="Times New Roman" w:eastAsia="Times New Roman" w:hAnsi="Times New Roman"/>
                <w:sz w:val="14"/>
                <w:szCs w:val="14"/>
                <w:lang w:eastAsia="pl-PL"/>
              </w:rPr>
              <w:t>07</w:t>
            </w:r>
            <w:r w:rsidRPr="00D61281">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83894" w:rsidP="004E6107">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w:t>
            </w:r>
            <w:r w:rsidR="004E6107">
              <w:rPr>
                <w:rFonts w:ascii="Times New Roman" w:eastAsia="Times New Roman" w:hAnsi="Times New Roman"/>
                <w:sz w:val="14"/>
                <w:szCs w:val="14"/>
                <w:lang w:eastAsia="pl-PL"/>
              </w:rPr>
              <w:t>89</w:t>
            </w:r>
            <w:r w:rsidR="00D61281" w:rsidRPr="00D61281">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13,47%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4,92%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15,48%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10,51</w:t>
            </w:r>
            <w:r w:rsidR="00D61281" w:rsidRPr="00D61281">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12,51</w:t>
            </w:r>
            <w:r w:rsidR="00D61281" w:rsidRPr="00D61281">
              <w:rPr>
                <w:rFonts w:ascii="Times New Roman" w:eastAsia="Times New Roman" w:hAnsi="Times New Roman"/>
                <w:sz w:val="14"/>
                <w:szCs w:val="14"/>
                <w:lang w:eastAsia="pl-PL"/>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4,15%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4,15%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4,15%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11,63</w:t>
            </w:r>
            <w:r w:rsidR="00D61281" w:rsidRPr="00D61281">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13,63</w:t>
            </w:r>
            <w:r w:rsidR="00D61281" w:rsidRPr="00D61281">
              <w:rPr>
                <w:rFonts w:ascii="Times New Roman" w:eastAsia="Times New Roman" w:hAnsi="Times New Roman"/>
                <w:sz w:val="14"/>
                <w:szCs w:val="14"/>
                <w:lang w:eastAsia="pl-PL"/>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4,21%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14,44</w:t>
            </w:r>
            <w:r w:rsidR="00D61281" w:rsidRPr="00D61281">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D61281">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14,44</w:t>
            </w:r>
            <w:r w:rsidR="00D61281" w:rsidRPr="00D61281">
              <w:rPr>
                <w:rFonts w:ascii="Times New Roman" w:eastAsia="Times New Roman" w:hAnsi="Times New Roman"/>
                <w:sz w:val="14"/>
                <w:szCs w:val="14"/>
                <w:lang w:eastAsia="pl-PL"/>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4,05%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4,05%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4,05%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3,84%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3,32%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3,32%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r w:rsidR="00D61281" w:rsidRPr="00D61281" w:rsidTr="004E610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contextualSpacing/>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TAK</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D61281" w:rsidRPr="00D61281" w:rsidTr="004E6107">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Informacje uzupełniające o wybranych rodzajach wydatków budżetowych</w:t>
            </w:r>
          </w:p>
        </w:tc>
      </w:tr>
      <w:tr w:rsidR="00D61281" w:rsidRPr="00D61281" w:rsidTr="004E6107">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Nowe wydatki inwestycyjne</w:t>
            </w:r>
          </w:p>
          <w:p w:rsidR="00D61281" w:rsidRPr="00D61281" w:rsidRDefault="00D61281" w:rsidP="00D61281">
            <w:pPr>
              <w:jc w:val="center"/>
              <w:rPr>
                <w:rFonts w:ascii="Times New Roman" w:eastAsia="Times New Roman" w:hAnsi="Times New Roman"/>
                <w:color w:val="000000"/>
                <w:sz w:val="14"/>
                <w:szCs w:val="14"/>
                <w:lang w:eastAsia="pl-PL"/>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sz w:val="14"/>
                <w:szCs w:val="14"/>
                <w:lang w:eastAsia="pl-PL"/>
              </w:rPr>
              <w:t xml:space="preserve">Wydatki majątkowe w formie dotacji  </w:t>
            </w:r>
          </w:p>
        </w:tc>
      </w:tr>
      <w:tr w:rsidR="00D61281" w:rsidRPr="00D61281" w:rsidTr="004E6107">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majątkowe</w:t>
            </w:r>
          </w:p>
        </w:tc>
        <w:tc>
          <w:tcPr>
            <w:tcW w:w="1302"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237"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157" w:type="dxa"/>
            <w:vMerge/>
            <w:tcBorders>
              <w:left w:val="single" w:sz="4" w:space="0" w:color="000000"/>
              <w:right w:val="single" w:sz="4" w:space="0" w:color="000000"/>
            </w:tcBorders>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sz w:val="14"/>
                <w:szCs w:val="14"/>
                <w:lang w:eastAsia="pl-PL"/>
              </w:rPr>
              <w:t>11.6</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AB012F"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13 589 043,59</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A83894"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3 876 937,50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AB012F"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10 129 187,78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A83894"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943 216,00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AB012F"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9 185 971,78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AB012F"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9 185 971,78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AB012F"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3 482 927,62</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319 000,00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BD6DFE"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500 893,00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BD6DFE" w:rsidP="00D61281">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500 893,00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7 726,00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7 726,00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5 216,00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5 216,00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1 450 000,00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6 150 000,00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10) Przeznaczenie nadwyżki budżetowej, inne niż spłaty kredytów, pożyczek i wykup papierów wartościowych, wymaga określenia w objaśnieniach do wieloletniej prognozy finansowej.</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12) W pozycji wykazuje się wartość inwestycji rozpoczętych co najmniej w poprzednim roku budżetowym, którego dotyczy kolumna.</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13) W pozycji wykazuje się wartość nowych inwestycji, które planuje się rozpocząć w roku, którego dotyczy kolumna.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D61281" w:rsidRPr="00D61281" w:rsidTr="004E6107">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Finansowanie programów, projektów lub zadań realizowanych z udziałem środków, o których mowa w art. 5 ust. 1 pkt 2 i 3 ustawy</w:t>
            </w:r>
          </w:p>
        </w:tc>
      </w:tr>
      <w:tr w:rsidR="00D61281" w:rsidRPr="00D6128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majątkowe  na programy, projekty lub zadania </w:t>
            </w:r>
          </w:p>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 na realizację programu, projektu lub zadania wynikające wyłącznie z zawartych umów z podmiotem dysponującym środkami, o których mowa w art. 5 ust. 1 pkt 2 ustawy </w:t>
            </w:r>
          </w:p>
        </w:tc>
      </w:tr>
      <w:tr w:rsidR="00D61281" w:rsidRPr="00D6128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środki określone w art. 5 ust. 1 pkt 2 ustawy wynikające wyłącznie z  zawartych umów na realizację programu, projektu lub </w:t>
            </w:r>
            <w:r w:rsidRPr="00D61281">
              <w:rPr>
                <w:rFonts w:ascii="Times New Roman" w:eastAsia="Times New Roman" w:hAnsi="Times New Roman"/>
                <w:color w:val="000000"/>
                <w:sz w:val="14"/>
                <w:szCs w:val="14"/>
                <w:lang w:eastAsia="pl-PL"/>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977"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c>
          <w:tcPr>
            <w:tcW w:w="1264"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14"/>
                <w:szCs w:val="14"/>
                <w:lang w:eastAsia="pl-PL"/>
              </w:rPr>
            </w:pP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12.3.2</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3 427 079,09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2 072 579,01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2 072 579,01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D61281" w:rsidRPr="00D61281" w:rsidTr="004E6107">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w:t>
            </w:r>
          </w:p>
        </w:tc>
      </w:tr>
      <w:tr w:rsidR="00D61281" w:rsidRPr="00D61281" w:rsidTr="004E6107">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r>
      <w:tr w:rsidR="00D61281" w:rsidRPr="00D61281" w:rsidTr="004E6107">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D61281" w:rsidRPr="00D61281" w:rsidRDefault="00D61281" w:rsidP="00D61281">
            <w:pPr>
              <w:jc w:val="center"/>
              <w:rPr>
                <w:rFonts w:ascii="Times New Roman" w:eastAsia="Times New Roman" w:hAnsi="Times New Roman"/>
                <w:color w:val="000000"/>
                <w:sz w:val="14"/>
                <w:szCs w:val="14"/>
                <w:lang w:eastAsia="pl-PL"/>
              </w:rPr>
            </w:pPr>
          </w:p>
        </w:tc>
        <w:tc>
          <w:tcPr>
            <w:tcW w:w="1276" w:type="dxa"/>
            <w:tcBorders>
              <w:top w:val="single" w:sz="4" w:space="0" w:color="000000"/>
              <w:bottom w:val="single" w:sz="4" w:space="0" w:color="000000"/>
              <w:right w:val="single" w:sz="4" w:space="0" w:color="000000"/>
            </w:tcBorders>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związku z już zawartą umową na realizację programu, projektu lub zadania</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12.7.1</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500 000,00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D61281" w:rsidRPr="00D61281" w:rsidTr="004E6107">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 xml:space="preserve">Kwoty dotyczące przejęcia i spłaty zobowiązań po samodzielnych publicznych zakładach opieki zdrowotnej oraz pokrycia ujemnego wyniku </w:t>
            </w:r>
          </w:p>
        </w:tc>
      </w:tr>
      <w:tr w:rsidR="00D61281" w:rsidRPr="00D61281" w:rsidTr="004E6107">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0"/>
                <w:szCs w:val="10"/>
                <w:lang w:eastAsia="pl-PL"/>
              </w:rPr>
            </w:pPr>
            <w:r w:rsidRPr="00D61281">
              <w:rPr>
                <w:rFonts w:ascii="Times New Roman" w:eastAsia="Times New Roman" w:hAnsi="Times New Roman"/>
                <w:color w:val="000000"/>
                <w:sz w:val="10"/>
                <w:szCs w:val="10"/>
                <w:lang w:eastAsia="pl-PL"/>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Dochody budżetowe z tytułu dotacji celowej z budżetu państwa, o której mowa w art. 196 ustawy z  dnia 15 kwietnia 2011 r.  o działalności leczniczej (Dz. U. z 2013 r. poz. 217, z </w:t>
            </w:r>
            <w:proofErr w:type="spellStart"/>
            <w:r w:rsidRPr="00D61281">
              <w:rPr>
                <w:rFonts w:ascii="Times New Roman" w:eastAsia="Times New Roman" w:hAnsi="Times New Roman"/>
                <w:color w:val="000000"/>
                <w:sz w:val="14"/>
                <w:szCs w:val="14"/>
                <w:lang w:eastAsia="pl-PL"/>
              </w:rPr>
              <w:t>późn</w:t>
            </w:r>
            <w:proofErr w:type="spellEnd"/>
            <w:r w:rsidRPr="00D61281">
              <w:rPr>
                <w:rFonts w:ascii="Times New Roman" w:eastAsia="Times New Roman" w:hAnsi="Times New Roman"/>
                <w:color w:val="000000"/>
                <w:sz w:val="14"/>
                <w:szCs w:val="14"/>
                <w:lang w:eastAsia="pl-PL"/>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bieżące na pokrycie ujemnego wyniku finansowego samodzielnego publicznego zakładu opieki zdrowotnej</w:t>
            </w:r>
          </w:p>
        </w:tc>
      </w:tr>
      <w:tr w:rsidR="00D61281" w:rsidRPr="00D61281" w:rsidTr="004E6107">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0"/>
                <w:szCs w:val="10"/>
                <w:lang w:eastAsia="pl-PL"/>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095"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20"/>
                <w:szCs w:val="20"/>
                <w:lang w:eastAsia="pl-PL"/>
              </w:rPr>
            </w:pPr>
          </w:p>
        </w:tc>
        <w:tc>
          <w:tcPr>
            <w:tcW w:w="1178" w:type="dxa"/>
            <w:vMerge/>
            <w:tcBorders>
              <w:left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sz w:val="20"/>
                <w:szCs w:val="20"/>
                <w:lang w:eastAsia="pl-PL"/>
              </w:rPr>
            </w:pP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13.7</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2"/>
                <w:szCs w:val="12"/>
                <w:lang w:eastAsia="pl-PL"/>
              </w:rPr>
            </w:pPr>
            <w:r w:rsidRPr="00D61281">
              <w:rPr>
                <w:rFonts w:ascii="Times New Roman" w:eastAsia="Times New Roman" w:hAnsi="Times New Roman"/>
                <w:color w:val="000000"/>
                <w:sz w:val="12"/>
                <w:szCs w:val="12"/>
                <w:lang w:eastAsia="pl-PL"/>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D61281" w:rsidRPr="00D61281" w:rsidTr="004E6107">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Dane uzupełniające o długu i jego spłacie</w:t>
            </w:r>
          </w:p>
        </w:tc>
      </w:tr>
      <w:tr w:rsidR="00D61281" w:rsidRPr="00D61281" w:rsidTr="004E6107">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Kwota długu, którego planowana spłata dokona się z wydatków </w:t>
            </w:r>
            <w:r w:rsidRPr="00D61281">
              <w:rPr>
                <w:rFonts w:ascii="Times New Roman" w:eastAsia="Times New Roman" w:hAnsi="Times New Roman"/>
                <w:color w:val="000000"/>
                <w:sz w:val="14"/>
                <w:szCs w:val="14"/>
                <w:lang w:eastAsia="pl-PL"/>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Wydatki zmniejszające </w:t>
            </w:r>
            <w:r w:rsidRPr="00D61281">
              <w:rPr>
                <w:rFonts w:ascii="Times New Roman" w:eastAsia="Times New Roman" w:hAnsi="Times New Roman"/>
                <w:color w:val="000000"/>
                <w:sz w:val="14"/>
                <w:szCs w:val="14"/>
                <w:lang w:eastAsia="pl-PL"/>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Wynik operacji </w:t>
            </w:r>
            <w:proofErr w:type="spellStart"/>
            <w:r w:rsidRPr="00D61281">
              <w:rPr>
                <w:rFonts w:ascii="Times New Roman" w:eastAsia="Times New Roman" w:hAnsi="Times New Roman"/>
                <w:color w:val="000000"/>
                <w:sz w:val="14"/>
                <w:szCs w:val="14"/>
                <w:lang w:eastAsia="pl-PL"/>
              </w:rPr>
              <w:t>niekasowych</w:t>
            </w:r>
            <w:proofErr w:type="spellEnd"/>
            <w:r w:rsidRPr="00D61281">
              <w:rPr>
                <w:rFonts w:ascii="Times New Roman" w:eastAsia="Times New Roman" w:hAnsi="Times New Roman"/>
                <w:color w:val="000000"/>
                <w:sz w:val="14"/>
                <w:szCs w:val="14"/>
                <w:lang w:eastAsia="pl-PL"/>
              </w:rPr>
              <w:t xml:space="preserve"> wpływających na kwotę długu ( m.in. umorzenia, różnice kursowe)</w:t>
            </w:r>
          </w:p>
        </w:tc>
      </w:tr>
      <w:tr w:rsidR="00D61281" w:rsidRPr="00D61281" w:rsidTr="004E6107">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D61281" w:rsidRPr="00D61281" w:rsidRDefault="00D61281" w:rsidP="00D61281">
            <w:pPr>
              <w:rPr>
                <w:rFonts w:ascii="Times New Roman" w:eastAsia="Times New Roman" w:hAnsi="Times New Roman"/>
                <w:color w:val="000000"/>
                <w:sz w:val="14"/>
                <w:szCs w:val="14"/>
                <w:lang w:eastAsia="pl-PL"/>
              </w:rPr>
            </w:pP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Lp.</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14.4</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2 727 135,88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9123E8" w:rsidP="00D61281">
            <w:pPr>
              <w:spacing w:before="100" w:beforeAutospacing="1" w:after="100" w:afterAutospacing="1"/>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D61281" w:rsidRPr="00D61281">
              <w:rPr>
                <w:rFonts w:ascii="Times New Roman" w:eastAsia="Times New Roman" w:hAnsi="Times New Roman"/>
                <w:sz w:val="14"/>
                <w:szCs w:val="14"/>
                <w:lang w:eastAsia="pl-PL"/>
              </w:rPr>
              <w:t>152 756,40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1 130 000,00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r w:rsidR="00D61281" w:rsidRPr="00D61281"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D61281" w:rsidRDefault="00D61281" w:rsidP="00D61281">
            <w:pPr>
              <w:jc w:val="center"/>
              <w:rPr>
                <w:rFonts w:ascii="Times New Roman" w:eastAsia="Times New Roman" w:hAnsi="Times New Roman"/>
                <w:color w:val="000000"/>
                <w:sz w:val="14"/>
                <w:szCs w:val="14"/>
                <w:lang w:eastAsia="pl-PL"/>
              </w:rPr>
            </w:pPr>
            <w:r w:rsidRPr="00D61281">
              <w:rPr>
                <w:rFonts w:ascii="Times New Roman" w:eastAsia="Times New Roman" w:hAnsi="Times New Roman"/>
                <w:color w:val="000000"/>
                <w:sz w:val="14"/>
                <w:szCs w:val="14"/>
                <w:lang w:eastAsia="pl-PL"/>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D61281" w:rsidRDefault="00D61281" w:rsidP="00D61281">
            <w:pPr>
              <w:spacing w:before="100" w:beforeAutospacing="1" w:after="100" w:afterAutospacing="1"/>
              <w:jc w:val="right"/>
              <w:rPr>
                <w:rFonts w:ascii="Times New Roman" w:eastAsia="Times New Roman" w:hAnsi="Times New Roman"/>
                <w:sz w:val="14"/>
                <w:szCs w:val="14"/>
                <w:lang w:eastAsia="pl-PL"/>
              </w:rPr>
            </w:pPr>
            <w:r w:rsidRPr="00D61281">
              <w:rPr>
                <w:rFonts w:ascii="Times New Roman" w:eastAsia="Times New Roman" w:hAnsi="Times New Roman"/>
                <w:sz w:val="14"/>
                <w:szCs w:val="14"/>
                <w:lang w:eastAsia="pl-PL"/>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jednostki samorządu terytorialnego (Dz. U. z 2015 r. poz. 92). Automatyczne wyliczenia danych na podstawie wartości historycznych i prognozowanych przez jednostkę samorządu terytorialnego dotyczą w szczególności także poz. 9.6.-9.6.1 i pozycji z sekcji nr 16.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Należy wskazać jedną z następujących podstaw prawnych: art. 240a ust. 4 / art. 240a ust. 8 / art. 240b ustawy  określającą procedurę jaką objęta jest jednostka samorządu terytorialnego.</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16) Pozycje sekcji 15 są wykazywane wyłącznie przez jednostki samorządu terytorialnego emitujące obligacje przychodowe.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17) Pozycje sekcji 16 wykazują wyłącznie jednostki objęte procedurą wynikającą z art. 240a lub art. 240b ustawy</w:t>
      </w: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p>
    <w:p w:rsidR="00D61281" w:rsidRPr="00D61281" w:rsidRDefault="00D61281" w:rsidP="00D61281">
      <w:pPr>
        <w:rPr>
          <w:rFonts w:ascii="Times New Roman" w:eastAsia="Times New Roman" w:hAnsi="Times New Roman"/>
          <w:b/>
          <w:bCs/>
          <w:iCs/>
          <w:color w:val="000000"/>
          <w:sz w:val="22"/>
          <w:szCs w:val="22"/>
          <w:lang w:eastAsia="pl-PL"/>
        </w:rPr>
      </w:pPr>
      <w:r w:rsidRPr="00D61281">
        <w:rPr>
          <w:rFonts w:ascii="Times New Roman" w:eastAsia="Times New Roman" w:hAnsi="Times New Roman"/>
          <w:b/>
          <w:bCs/>
          <w:iCs/>
          <w:color w:val="000000"/>
          <w:sz w:val="22"/>
          <w:szCs w:val="22"/>
          <w:lang w:eastAsia="pl-PL"/>
        </w:rPr>
        <w:lastRenderedPageBreak/>
        <w:t>Wykaz przedsięwzięć do WPF</w:t>
      </w:r>
    </w:p>
    <w:p w:rsidR="00D61281" w:rsidRP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2 do uchwały Nr X</w:t>
      </w:r>
      <w:r w:rsidR="00B901B1">
        <w:rPr>
          <w:rFonts w:ascii="Times New Roman" w:eastAsia="Calibri" w:hAnsi="Times New Roman"/>
          <w:b/>
          <w:sz w:val="22"/>
          <w:szCs w:val="22"/>
        </w:rPr>
        <w:t>I</w:t>
      </w:r>
      <w:r w:rsidRPr="00D61281">
        <w:rPr>
          <w:rFonts w:ascii="Times New Roman" w:eastAsia="Calibri" w:hAnsi="Times New Roman"/>
          <w:b/>
          <w:sz w:val="22"/>
          <w:szCs w:val="22"/>
        </w:rPr>
        <w:t>.</w:t>
      </w:r>
      <w:r w:rsidR="00AB012F">
        <w:rPr>
          <w:rFonts w:ascii="Times New Roman" w:eastAsia="Calibri" w:hAnsi="Times New Roman"/>
          <w:b/>
          <w:sz w:val="22"/>
          <w:szCs w:val="22"/>
        </w:rPr>
        <w:t>84</w:t>
      </w:r>
      <w:r w:rsidRPr="00D61281">
        <w:rPr>
          <w:rFonts w:ascii="Times New Roman" w:eastAsia="Calibri" w:hAnsi="Times New Roman"/>
          <w:b/>
          <w:sz w:val="22"/>
          <w:szCs w:val="22"/>
        </w:rPr>
        <w:t xml:space="preserve">.2019 Rady Gminy Złotów z dnia </w:t>
      </w:r>
      <w:r w:rsidR="00B901B1">
        <w:rPr>
          <w:rFonts w:ascii="Times New Roman" w:eastAsia="Calibri" w:hAnsi="Times New Roman"/>
          <w:b/>
          <w:sz w:val="22"/>
          <w:szCs w:val="22"/>
        </w:rPr>
        <w:t xml:space="preserve">29 sierpnia </w:t>
      </w:r>
      <w:r w:rsidRPr="00D61281">
        <w:rPr>
          <w:rFonts w:ascii="Times New Roman" w:eastAsia="Calibri" w:hAnsi="Times New Roman"/>
          <w:b/>
          <w:sz w:val="22"/>
          <w:szCs w:val="22"/>
        </w:rPr>
        <w:t xml:space="preserve">2019 r. w sprawie wprowadzenia zmian do uchwały </w:t>
      </w:r>
      <w:r w:rsidRPr="00D61281">
        <w:rPr>
          <w:rFonts w:ascii="Times New Roman" w:eastAsia="Calibri" w:hAnsi="Times New Roman"/>
          <w:b/>
          <w:sz w:val="22"/>
          <w:szCs w:val="22"/>
        </w:rPr>
        <w:br/>
        <w:t>w sprawie uchwalenia Wieloletniej Prognozy Finansowej Gminy Złotów na lata 2019 - 2026.</w:t>
      </w: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20"/>
        <w:gridCol w:w="1023"/>
      </w:tblGrid>
      <w:tr w:rsidR="00923675" w:rsidRPr="00923675" w:rsidTr="00923675">
        <w:trPr>
          <w:trHeight w:val="115"/>
        </w:trPr>
        <w:tc>
          <w:tcPr>
            <w:tcW w:w="5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L.p.</w:t>
            </w:r>
          </w:p>
        </w:tc>
        <w:tc>
          <w:tcPr>
            <w:tcW w:w="33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Nazwa i cel</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Jednostka odpowiedzialna lub koordynująca</w:t>
            </w:r>
          </w:p>
        </w:tc>
        <w:tc>
          <w:tcPr>
            <w:tcW w:w="11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Okres realizacji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Łączne nakłady finansowe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Limit 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Limit 2020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Limit 2021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Limit 2022</w:t>
            </w:r>
          </w:p>
        </w:tc>
        <w:tc>
          <w:tcPr>
            <w:tcW w:w="850"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Limit 2023</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Limit 2024</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Limit zobowiązań</w:t>
            </w:r>
          </w:p>
        </w:tc>
      </w:tr>
      <w:tr w:rsidR="00923675" w:rsidRPr="00923675" w:rsidTr="00923675">
        <w:trPr>
          <w:trHeight w:val="89"/>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3389" w:type="dxa"/>
            <w:vMerge/>
            <w:tcBorders>
              <w:top w:val="single" w:sz="4" w:space="0" w:color="000000"/>
              <w:left w:val="single" w:sz="4" w:space="0" w:color="000000"/>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Od</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Do</w:t>
            </w:r>
          </w:p>
        </w:tc>
        <w:tc>
          <w:tcPr>
            <w:tcW w:w="850" w:type="dxa"/>
            <w:vMerge/>
            <w:tcBorders>
              <w:top w:val="nil"/>
              <w:left w:val="nil"/>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23675" w:rsidRPr="00923675" w:rsidRDefault="00923675" w:rsidP="00923675">
            <w:pPr>
              <w:rPr>
                <w:rFonts w:eastAsia="Times New Roman" w:cstheme="minorHAnsi"/>
                <w:color w:val="000000"/>
                <w:sz w:val="14"/>
                <w:szCs w:val="14"/>
                <w:lang w:eastAsia="pl-PL"/>
              </w:rPr>
            </w:pPr>
          </w:p>
        </w:tc>
        <w:tc>
          <w:tcPr>
            <w:tcW w:w="850" w:type="dxa"/>
            <w:vMerge/>
            <w:tcBorders>
              <w:top w:val="single" w:sz="4" w:space="0" w:color="000000"/>
              <w:left w:val="single" w:sz="4" w:space="0" w:color="000000"/>
              <w:bottom w:val="single" w:sz="4" w:space="0" w:color="000000"/>
              <w:right w:val="nil"/>
            </w:tcBorders>
            <w:vAlign w:val="center"/>
            <w:hideMark/>
          </w:tcPr>
          <w:p w:rsidR="00923675" w:rsidRPr="00923675" w:rsidRDefault="00923675" w:rsidP="00923675">
            <w:pPr>
              <w:rPr>
                <w:rFonts w:eastAsia="Times New Roman" w:cstheme="minorHAnsi"/>
                <w:color w:val="000000"/>
                <w:sz w:val="14"/>
                <w:szCs w:val="14"/>
                <w:lang w:eastAsia="pl-PL"/>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23675" w:rsidRPr="00923675" w:rsidRDefault="00923675" w:rsidP="00923675">
            <w:pPr>
              <w:rPr>
                <w:rFonts w:eastAsia="Times New Roman" w:cstheme="minorHAnsi"/>
                <w:color w:val="000000"/>
                <w:sz w:val="14"/>
                <w:szCs w:val="14"/>
                <w:lang w:eastAsia="pl-PL"/>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923675" w:rsidRPr="00923675" w:rsidRDefault="00923675" w:rsidP="00923675">
            <w:pPr>
              <w:rPr>
                <w:rFonts w:eastAsia="Times New Roman" w:cstheme="minorHAnsi"/>
                <w:color w:val="000000"/>
                <w:sz w:val="14"/>
                <w:szCs w:val="14"/>
                <w:lang w:eastAsia="pl-PL"/>
              </w:rPr>
            </w:pPr>
          </w:p>
        </w:tc>
      </w:tr>
      <w:tr w:rsidR="00923675" w:rsidRPr="00923675" w:rsidTr="00923675">
        <w:trPr>
          <w:trHeight w:val="47"/>
        </w:trPr>
        <w:tc>
          <w:tcPr>
            <w:tcW w:w="595" w:type="dxa"/>
            <w:tcBorders>
              <w:top w:val="single" w:sz="4" w:space="0" w:color="000000"/>
              <w:left w:val="single" w:sz="4" w:space="0" w:color="000000"/>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w:t>
            </w:r>
          </w:p>
        </w:tc>
        <w:tc>
          <w:tcPr>
            <w:tcW w:w="3389" w:type="dxa"/>
            <w:tcBorders>
              <w:top w:val="single" w:sz="4" w:space="0" w:color="000000"/>
              <w:left w:val="single" w:sz="4" w:space="0" w:color="000000"/>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2</w:t>
            </w:r>
          </w:p>
        </w:tc>
        <w:tc>
          <w:tcPr>
            <w:tcW w:w="1027" w:type="dxa"/>
            <w:tcBorders>
              <w:top w:val="single" w:sz="4" w:space="0" w:color="000000"/>
              <w:left w:val="single" w:sz="4" w:space="0" w:color="000000"/>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3</w:t>
            </w:r>
          </w:p>
        </w:tc>
        <w:tc>
          <w:tcPr>
            <w:tcW w:w="533" w:type="dxa"/>
            <w:tcBorders>
              <w:top w:val="nil"/>
              <w:left w:val="nil"/>
              <w:bottom w:val="single" w:sz="4" w:space="0" w:color="000000"/>
              <w:right w:val="single" w:sz="4" w:space="0" w:color="000000"/>
            </w:tcBorders>
            <w:shd w:val="clear" w:color="000000" w:fill="FFFFFF"/>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4</w:t>
            </w:r>
          </w:p>
        </w:tc>
        <w:tc>
          <w:tcPr>
            <w:tcW w:w="567" w:type="dxa"/>
            <w:tcBorders>
              <w:top w:val="nil"/>
              <w:left w:val="nil"/>
              <w:bottom w:val="single" w:sz="4" w:space="0" w:color="000000"/>
              <w:right w:val="single" w:sz="4" w:space="0" w:color="000000"/>
            </w:tcBorders>
            <w:shd w:val="clear" w:color="000000" w:fill="FFFFFF"/>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5</w:t>
            </w:r>
          </w:p>
        </w:tc>
        <w:tc>
          <w:tcPr>
            <w:tcW w:w="850" w:type="dxa"/>
            <w:tcBorders>
              <w:top w:val="nil"/>
              <w:left w:val="nil"/>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10</w:t>
            </w:r>
          </w:p>
        </w:tc>
        <w:tc>
          <w:tcPr>
            <w:tcW w:w="850" w:type="dxa"/>
            <w:tcBorders>
              <w:top w:val="single" w:sz="4" w:space="0" w:color="000000"/>
              <w:left w:val="single" w:sz="4" w:space="0" w:color="000000"/>
              <w:bottom w:val="single" w:sz="4" w:space="0" w:color="000000"/>
              <w:right w:val="nil"/>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11</w:t>
            </w:r>
          </w:p>
        </w:tc>
        <w:tc>
          <w:tcPr>
            <w:tcW w:w="82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12</w:t>
            </w:r>
          </w:p>
        </w:tc>
        <w:tc>
          <w:tcPr>
            <w:tcW w:w="1023"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923675">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13</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Wydatki na przedsięwzięcia-ogółem (1.1+1.2+1.3)</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13 741 700,95</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10 129 187,78</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7 726,00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5 216,00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716 290,91</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1.a</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1 929 427,00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943 216,00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7 726,00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5 216,00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CF612B"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190 617,80</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1.b</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11 812 273,95</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9 185 971,78</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525 673,11</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Wydatki na programy, projekty lub zadania związane z programami realizowanymi z udziałem środków, o których mowa w art.5 ust.1 pkt 2 i 3 ustawy z dnia 27 sierpnia 2009.r. o finansach publicznych (</w:t>
            </w:r>
            <w:proofErr w:type="spellStart"/>
            <w:r w:rsidRPr="00923675">
              <w:rPr>
                <w:rFonts w:eastAsia="Times New Roman" w:cstheme="minorHAnsi"/>
                <w:color w:val="000000"/>
                <w:sz w:val="14"/>
                <w:szCs w:val="14"/>
                <w:lang w:eastAsia="pl-PL"/>
              </w:rPr>
              <w:t>Dz.U.Nr</w:t>
            </w:r>
            <w:proofErr w:type="spellEnd"/>
            <w:r w:rsidRPr="00923675">
              <w:rPr>
                <w:rFonts w:eastAsia="Times New Roman" w:cstheme="minorHAnsi"/>
                <w:color w:val="000000"/>
                <w:sz w:val="14"/>
                <w:szCs w:val="14"/>
                <w:lang w:eastAsia="pl-PL"/>
              </w:rPr>
              <w:t xml:space="preserve"> 157, poz.1240,z późn.zm.), 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8 634 799,00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6 696 214,00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217 444,00</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1.1.1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1.1.2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8 634 799,00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6 696 214,00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217 444,00</w:t>
            </w:r>
          </w:p>
        </w:tc>
      </w:tr>
      <w:tr w:rsidR="00923675" w:rsidRPr="00923675" w:rsidTr="00923675">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1.1.2.1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5 468 914,00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5 468 914,00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198 386,00</w:t>
            </w:r>
          </w:p>
        </w:tc>
      </w:tr>
      <w:tr w:rsidR="00923675" w:rsidRPr="00923675" w:rsidTr="00923675">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1.1.2.2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1 054 300,00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AB012F">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1 00</w:t>
            </w:r>
            <w:r w:rsidR="00AB012F">
              <w:rPr>
                <w:rFonts w:eastAsia="Times New Roman" w:cstheme="minorHAnsi"/>
                <w:color w:val="000000"/>
                <w:sz w:val="12"/>
                <w:szCs w:val="12"/>
                <w:lang w:eastAsia="pl-PL"/>
              </w:rPr>
              <w:t>2</w:t>
            </w:r>
            <w:r w:rsidRPr="00923675">
              <w:rPr>
                <w:rFonts w:eastAsia="Times New Roman" w:cstheme="minorHAnsi"/>
                <w:color w:val="000000"/>
                <w:sz w:val="12"/>
                <w:szCs w:val="12"/>
                <w:lang w:eastAsia="pl-PL"/>
              </w:rPr>
              <w:t> </w:t>
            </w:r>
            <w:r w:rsidR="00AB012F">
              <w:rPr>
                <w:rFonts w:eastAsia="Times New Roman" w:cstheme="minorHAnsi"/>
                <w:color w:val="000000"/>
                <w:sz w:val="12"/>
                <w:szCs w:val="12"/>
                <w:lang w:eastAsia="pl-PL"/>
              </w:rPr>
              <w:t>3</w:t>
            </w:r>
            <w:r w:rsidRPr="00923675">
              <w:rPr>
                <w:rFonts w:eastAsia="Times New Roman" w:cstheme="minorHAnsi"/>
                <w:color w:val="000000"/>
                <w:sz w:val="12"/>
                <w:szCs w:val="12"/>
                <w:lang w:eastAsia="pl-PL"/>
              </w:rPr>
              <w:t>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AB012F"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19 058,00</w:t>
            </w:r>
          </w:p>
        </w:tc>
      </w:tr>
      <w:tr w:rsidR="00923675" w:rsidRPr="00923675" w:rsidTr="00923675">
        <w:trPr>
          <w:trHeight w:val="162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1.1.2.3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2 111 585,00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225 000,00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Wydatki na programy, projekty lub zadania związane z umowami partnerstwa publiczno-prywatnego, 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1.2.1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1.2.2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Wydatki na programy, projekty lub zadania pozostałe (inne niż wymienione w pkt 1.1 i 1.2),z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5 106 901,95</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3 432 973,78</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7 726,00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5 216,00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CF612B"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498 846,91</w:t>
            </w:r>
          </w:p>
        </w:tc>
      </w:tr>
      <w:tr w:rsidR="00923675" w:rsidRPr="00923675" w:rsidTr="00923675">
        <w:trPr>
          <w:trHeight w:val="47"/>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1 929 427,00</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943 216,00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500 893,00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7 726,00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5 216,00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CF612B"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190 617,80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Sporządzenie MPZP Gminy Złotów w obrębie miejscowości Blękwit - umożliwienie rozwoju zabudowy w obrębie miejscowości Blękwit ograniczonej obowiązującym miejscowym planem</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24 969,00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18 819,00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529"/>
        </w:trPr>
        <w:tc>
          <w:tcPr>
            <w:tcW w:w="595" w:type="dxa"/>
            <w:tcBorders>
              <w:top w:val="nil"/>
              <w:left w:val="single" w:sz="4" w:space="0" w:color="000000"/>
              <w:bottom w:val="single" w:sz="4" w:space="0" w:color="auto"/>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1.3.1.2</w:t>
            </w:r>
          </w:p>
        </w:tc>
        <w:tc>
          <w:tcPr>
            <w:tcW w:w="3389" w:type="dxa"/>
            <w:tcBorders>
              <w:top w:val="single" w:sz="4" w:space="0" w:color="000000"/>
              <w:left w:val="nil"/>
              <w:bottom w:val="single" w:sz="4" w:space="0" w:color="auto"/>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Ubezpieczenie mienia i odpowiedzialności cywilnej w Gminie Złotów w latach 2017-2019 - Ubezpieczenie mienia i odpowiedzialności cywilnej w Gminie Złotów</w:t>
            </w:r>
          </w:p>
        </w:tc>
        <w:tc>
          <w:tcPr>
            <w:tcW w:w="1027" w:type="dxa"/>
            <w:tcBorders>
              <w:top w:val="single" w:sz="4" w:space="0" w:color="000000"/>
              <w:left w:val="nil"/>
              <w:bottom w:val="single" w:sz="4" w:space="0" w:color="auto"/>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2016</w:t>
            </w:r>
          </w:p>
        </w:tc>
        <w:tc>
          <w:tcPr>
            <w:tcW w:w="567"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192 039,00</w:t>
            </w:r>
          </w:p>
        </w:tc>
        <w:tc>
          <w:tcPr>
            <w:tcW w:w="992"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66 050,00</w:t>
            </w:r>
          </w:p>
        </w:tc>
        <w:tc>
          <w:tcPr>
            <w:tcW w:w="851"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auto"/>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4 999,00</w:t>
            </w:r>
          </w:p>
        </w:tc>
      </w:tr>
      <w:tr w:rsidR="00923675" w:rsidRPr="00923675" w:rsidTr="00923675">
        <w:trPr>
          <w:trHeight w:val="47"/>
        </w:trPr>
        <w:tc>
          <w:tcPr>
            <w:tcW w:w="595"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lastRenderedPageBreak/>
              <w:t>1</w:t>
            </w:r>
          </w:p>
        </w:tc>
        <w:tc>
          <w:tcPr>
            <w:tcW w:w="3389"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2</w:t>
            </w:r>
          </w:p>
        </w:tc>
        <w:tc>
          <w:tcPr>
            <w:tcW w:w="1027"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3</w:t>
            </w:r>
          </w:p>
        </w:tc>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11</w:t>
            </w:r>
          </w:p>
        </w:tc>
        <w:tc>
          <w:tcPr>
            <w:tcW w:w="82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12</w:t>
            </w:r>
          </w:p>
        </w:tc>
        <w:tc>
          <w:tcPr>
            <w:tcW w:w="1023"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13</w:t>
            </w:r>
          </w:p>
        </w:tc>
      </w:tr>
      <w:tr w:rsidR="00923675" w:rsidRPr="00923675" w:rsidTr="00923675">
        <w:trPr>
          <w:trHeight w:val="683"/>
        </w:trPr>
        <w:tc>
          <w:tcPr>
            <w:tcW w:w="59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1.3.1.3</w:t>
            </w:r>
          </w:p>
        </w:tc>
        <w:tc>
          <w:tcPr>
            <w:tcW w:w="3389"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Usługa alarmowania członków OSP Gminy Złotów  - niezwłoczne powiadomienie Strażaków Ochotników o alarmach pożarowych lub innych, systemem telefonicznym w celu umożliwienia szybkiego przystąpienia do akcji ratowniczej</w:t>
            </w:r>
          </w:p>
        </w:tc>
        <w:tc>
          <w:tcPr>
            <w:tcW w:w="1027"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999,00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250,00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single" w:sz="4" w:space="0" w:color="auto"/>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xml:space="preserve">Sporządzenie MPZP Gminy Złotów w obrębie ewidencyjnym Dzierzążenko - </w:t>
            </w:r>
            <w:proofErr w:type="spellStart"/>
            <w:r w:rsidRPr="00923675">
              <w:rPr>
                <w:rFonts w:eastAsia="Times New Roman" w:cstheme="minorHAnsi"/>
                <w:color w:val="000000"/>
                <w:sz w:val="14"/>
                <w:szCs w:val="14"/>
                <w:lang w:eastAsia="pl-PL"/>
              </w:rPr>
              <w:t>Wielatowo</w:t>
            </w:r>
            <w:proofErr w:type="spellEnd"/>
            <w:r w:rsidRPr="00923675">
              <w:rPr>
                <w:rFonts w:eastAsia="Times New Roman" w:cstheme="minorHAnsi"/>
                <w:color w:val="000000"/>
                <w:sz w:val="14"/>
                <w:szCs w:val="14"/>
                <w:lang w:eastAsia="pl-PL"/>
              </w:rPr>
              <w:t xml:space="preserve"> - umożliwienie rozwoju usługowo-przemysłowego oraz mieszkaniowego na terenie Gminy Złotów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30 750,00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22 750,00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68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Sporządzenie MPZP Gminy Złotów w miejscowości Radawnica - opracowanie zmiany istniejącego MPZP Gminy Złotów w miejscowości Radawnica, konieczność wtórnego wydzielenia nowych działek budowlanych, zmiana przebiegu granic dróg</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29 520,00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21 520,00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Nadzór autorski nad programami komputerowymi - zapewnienie prawidłowego funkcjonowania programów komputerowych</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2020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7 670,00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2 600,00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2 600,00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358,00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Przegląd i konserwacja klimatyzacji w Urzędzie Gminy - zapewnienie prawidłowego funkcjonowania klimatyzatorów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2024</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31 094,00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3 710,00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6 220,00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6 220,00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6 220,00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5 020,00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2 510,00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34,00</w:t>
            </w:r>
          </w:p>
        </w:tc>
      </w:tr>
      <w:tr w:rsidR="00923675" w:rsidRPr="00923675" w:rsidTr="00923675">
        <w:trPr>
          <w:trHeight w:val="68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Zorganizowany dowóz uczniów do szkół w roku szkolnym 2018/2019 - Zapewnienie realizacji zadania własnego gminy polegającego na dowożeniu uczniów do szkół, zapewnienie bezpieczeństwa uczniom w czasie dowozu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770 225,00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468 253,00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26 326,00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Obsługa geodezyjna Gminy Złotów w m. Krzywa Wieś, Dzierzążenko, Górzna, Bługowo, Nowy Dwór, Kleszczyna - sporządzenie dokumentacji dotyczącej podziału działek</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10 000,00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400,00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1.3.1.10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Przegląd i konserwacja klimatyzacji w salach wiejskich na terenie Gminy Złotów - zapewnienie prawidłowego funkcjonowania klimatyzatorów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2024</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14 883,00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1 353,00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2 706,00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2 706,00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2 706,00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2 706,00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r w:rsidR="00923675" w:rsidRPr="00923675" w:rsidTr="00923675">
        <w:trPr>
          <w:trHeight w:val="68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1.3.1.11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Zorganizowany dowóz uczniów do szkół w roku szkolnym 2019/2020 - Zapewnienie realizacji zadania własnego gminy polegającego na dowożeniu uczniów do szkół, zapewnienie bezpieczeństwa uczniom w czasie dowozu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2020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817 278,00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327 911,00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489 367,00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CF612B" w:rsidP="00923675">
            <w:pPr>
              <w:jc w:val="right"/>
              <w:rPr>
                <w:rFonts w:eastAsia="Times New Roman" w:cstheme="minorHAnsi"/>
                <w:color w:val="000000"/>
                <w:sz w:val="12"/>
                <w:szCs w:val="12"/>
                <w:lang w:eastAsia="pl-PL"/>
              </w:rPr>
            </w:pPr>
            <w:r>
              <w:rPr>
                <w:rFonts w:eastAsia="Times New Roman" w:cstheme="minorHAnsi"/>
                <w:color w:val="000000"/>
                <w:sz w:val="12"/>
                <w:szCs w:val="12"/>
                <w:lang w:eastAsia="pl-PL"/>
              </w:rPr>
              <w:t>158 500,80</w:t>
            </w:r>
          </w:p>
        </w:tc>
      </w:tr>
      <w:tr w:rsidR="00923675" w:rsidRPr="00923675" w:rsidTr="00923675">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3 177 474,95</w:t>
            </w:r>
          </w:p>
        </w:tc>
        <w:tc>
          <w:tcPr>
            <w:tcW w:w="992"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2 489 757,78</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D3D3D3"/>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308 229,11</w:t>
            </w:r>
          </w:p>
        </w:tc>
      </w:tr>
      <w:tr w:rsidR="00923675" w:rsidRPr="00923675" w:rsidTr="00923675">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768 795,00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728 000,00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863,00</w:t>
            </w:r>
          </w:p>
        </w:tc>
      </w:tr>
      <w:tr w:rsidR="00923675" w:rsidRPr="00923675" w:rsidTr="00923675">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336 242,00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304 200,00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374,00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sieci wodociągowej w m. Bielawa (dz. nr 86/3) -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47 380,00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2 061,00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sieci wodociągowej w m. Święta (dz. nr 792/4) -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32 650,00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28 000,00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57,00</w:t>
            </w:r>
          </w:p>
        </w:tc>
      </w:tr>
    </w:tbl>
    <w:p w:rsidR="00923675" w:rsidRDefault="00923675" w:rsidP="004E6107">
      <w:pPr>
        <w:jc w:val="center"/>
        <w:rPr>
          <w:rFonts w:eastAsia="Times New Roman" w:cstheme="minorHAnsi"/>
          <w:color w:val="000000"/>
          <w:sz w:val="12"/>
          <w:szCs w:val="12"/>
          <w:lang w:eastAsia="pl-PL"/>
        </w:rPr>
        <w:sectPr w:rsidR="00923675" w:rsidSect="004E6107">
          <w:pgSz w:w="15840" w:h="11894" w:orient="landscape"/>
          <w:pgMar w:top="1247" w:right="1418" w:bottom="1247" w:left="1440" w:header="709" w:footer="709" w:gutter="0"/>
          <w:cols w:space="708"/>
          <w:noEndnote/>
        </w:sect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20"/>
        <w:gridCol w:w="1023"/>
      </w:tblGrid>
      <w:tr w:rsidR="00923675" w:rsidRPr="00923675" w:rsidTr="004E6107">
        <w:trPr>
          <w:trHeight w:val="47"/>
        </w:trPr>
        <w:tc>
          <w:tcPr>
            <w:tcW w:w="595"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lastRenderedPageBreak/>
              <w:t>1</w:t>
            </w:r>
          </w:p>
        </w:tc>
        <w:tc>
          <w:tcPr>
            <w:tcW w:w="3389"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2</w:t>
            </w:r>
          </w:p>
        </w:tc>
        <w:tc>
          <w:tcPr>
            <w:tcW w:w="1027"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3</w:t>
            </w:r>
          </w:p>
        </w:tc>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11</w:t>
            </w:r>
          </w:p>
        </w:tc>
        <w:tc>
          <w:tcPr>
            <w:tcW w:w="820"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12</w:t>
            </w:r>
          </w:p>
        </w:tc>
        <w:tc>
          <w:tcPr>
            <w:tcW w:w="1023" w:type="dxa"/>
            <w:tcBorders>
              <w:top w:val="single" w:sz="4" w:space="0" w:color="auto"/>
              <w:left w:val="single" w:sz="4" w:space="0" w:color="auto"/>
              <w:bottom w:val="single" w:sz="4" w:space="0" w:color="auto"/>
              <w:right w:val="single" w:sz="4" w:space="0" w:color="auto"/>
            </w:tcBorders>
            <w:vAlign w:val="center"/>
          </w:tcPr>
          <w:p w:rsidR="00923675" w:rsidRPr="00923675" w:rsidRDefault="00923675" w:rsidP="004E6107">
            <w:pPr>
              <w:jc w:val="center"/>
              <w:rPr>
                <w:rFonts w:eastAsia="Times New Roman" w:cstheme="minorHAnsi"/>
                <w:color w:val="000000"/>
                <w:sz w:val="12"/>
                <w:szCs w:val="12"/>
                <w:lang w:eastAsia="pl-PL"/>
              </w:rPr>
            </w:pPr>
            <w:r>
              <w:rPr>
                <w:rFonts w:eastAsia="Times New Roman" w:cstheme="minorHAnsi"/>
                <w:color w:val="000000"/>
                <w:sz w:val="12"/>
                <w:szCs w:val="12"/>
                <w:lang w:eastAsia="pl-PL"/>
              </w:rPr>
              <w:t>13</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stacji podnoszenia ciśnienia w m. Bielawa - poprawa standardów dostarczanej wody do gospodarstw domowych na terenie gminy,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201 328,00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160 000,00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156 000,00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wiaty rekreacyjnej w m. Bługowo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24 946,42</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14 000,00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500,00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wiaty rekreacyjnej w m. Radawnica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30 919,05</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14 919,05</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8 219,63</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Zagospodarowanie terenu przy sali wiejskiej w Kleszczynie wraz z budową wiaty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98 611,00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22 408,25</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3 773,00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chodnika w m. Górzna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30 037,48</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22 037,48</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22 037,48</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chodnika w m. Kamień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29 909,00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15 193,00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15 193,00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drogi w m. Klukowo ("na nasypie")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31 000,00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31 000,00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820,00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kładki dla pieszych przy drodze gminnej w m. Skic - poprawa bezpieczeństwa pieszych w ruchu drogowym</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24 704,00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24 704,00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3 179,00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ścieżki pieszo-rowerowej Stawnica-Złotów - Poprawa warunków komunikacyjnych</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289 786,00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40 000,00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Modernizacja drogi gminnej w m. Nowiny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130 973,00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116 096,00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39,00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Przebudowa dróg w m. Międzybłocie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1 427,00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Przebudowa drogi w m. Rudna (dz. nr 341)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39 000,00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20 000,00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20 000,00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Przebudowa budynku socjalno-gospodarczego przy Urzędzie Gminy Złotów - poprawa funkcjonalności i estetyki budynku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559 000,00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549 000,00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32 498,00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Montaż instalacji klimatyzacji w budynku Urzędu Gminy - poprawa warunków pracy</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132 397,00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103 000,00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608,00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1.3.2.19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 xml:space="preserve">Budowa szatni sportowej - budynku sanitarno-gospodarczego w Rudnej - Rozwój infrastruktury sportowo-rekreacyjnej, wzrost roli sportu jako czynnika stymulującego rozwój </w:t>
            </w:r>
            <w:proofErr w:type="spellStart"/>
            <w:r w:rsidRPr="00923675">
              <w:rPr>
                <w:rFonts w:eastAsia="Times New Roman" w:cstheme="minorHAnsi"/>
                <w:color w:val="000000"/>
                <w:sz w:val="14"/>
                <w:szCs w:val="14"/>
                <w:lang w:eastAsia="pl-PL"/>
              </w:rPr>
              <w:t>społeczno</w:t>
            </w:r>
            <w:proofErr w:type="spellEnd"/>
            <w:r w:rsidRPr="00923675">
              <w:rPr>
                <w:rFonts w:eastAsia="Times New Roman" w:cstheme="minorHAnsi"/>
                <w:color w:val="000000"/>
                <w:sz w:val="14"/>
                <w:szCs w:val="14"/>
                <w:lang w:eastAsia="pl-PL"/>
              </w:rPr>
              <w:t xml:space="preserve"> - kulturalny sołectwa</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229 045,00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189 500,00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80,00</w:t>
            </w:r>
          </w:p>
        </w:tc>
      </w:tr>
      <w:tr w:rsidR="00923675" w:rsidRPr="00923675" w:rsidTr="00923675">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1.3.2.20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Budowa chodnika w m. Józefowo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16 073,00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6 500,00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500,00</w:t>
            </w:r>
          </w:p>
        </w:tc>
      </w:tr>
      <w:tr w:rsidR="00923675" w:rsidRPr="00923675" w:rsidTr="00923675">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1.3.2.21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rPr>
                <w:rFonts w:eastAsia="Times New Roman" w:cstheme="minorHAnsi"/>
                <w:color w:val="000000"/>
                <w:sz w:val="14"/>
                <w:szCs w:val="14"/>
                <w:lang w:eastAsia="pl-PL"/>
              </w:rPr>
            </w:pPr>
            <w:r w:rsidRPr="00923675">
              <w:rPr>
                <w:rFonts w:eastAsia="Times New Roman" w:cstheme="minorHAnsi"/>
                <w:color w:val="000000"/>
                <w:sz w:val="14"/>
                <w:szCs w:val="14"/>
                <w:lang w:eastAsia="pl-PL"/>
              </w:rPr>
              <w:t>Zagospodarowanie terenu amfiteatru w Świętej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center"/>
              <w:rPr>
                <w:rFonts w:eastAsia="Times New Roman" w:cstheme="minorHAnsi"/>
                <w:color w:val="000000"/>
                <w:sz w:val="14"/>
                <w:szCs w:val="14"/>
                <w:lang w:eastAsia="pl-PL"/>
              </w:rPr>
            </w:pPr>
            <w:r w:rsidRPr="00923675">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74 679,00</w:t>
            </w:r>
          </w:p>
        </w:tc>
        <w:tc>
          <w:tcPr>
            <w:tcW w:w="992"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1 200,00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820"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c>
          <w:tcPr>
            <w:tcW w:w="1023" w:type="dxa"/>
            <w:tcBorders>
              <w:top w:val="nil"/>
              <w:left w:val="nil"/>
              <w:bottom w:val="single" w:sz="4" w:space="0" w:color="000000"/>
              <w:right w:val="single" w:sz="4" w:space="0" w:color="000000"/>
            </w:tcBorders>
            <w:shd w:val="clear" w:color="000000" w:fill="FFFFFF"/>
            <w:vAlign w:val="center"/>
            <w:hideMark/>
          </w:tcPr>
          <w:p w:rsidR="00923675" w:rsidRPr="00923675" w:rsidRDefault="00923675" w:rsidP="00923675">
            <w:pPr>
              <w:jc w:val="right"/>
              <w:rPr>
                <w:rFonts w:eastAsia="Times New Roman" w:cstheme="minorHAnsi"/>
                <w:color w:val="000000"/>
                <w:sz w:val="12"/>
                <w:szCs w:val="12"/>
                <w:lang w:eastAsia="pl-PL"/>
              </w:rPr>
            </w:pPr>
            <w:r w:rsidRPr="00923675">
              <w:rPr>
                <w:rFonts w:eastAsia="Times New Roman" w:cstheme="minorHAnsi"/>
                <w:color w:val="000000"/>
                <w:sz w:val="12"/>
                <w:szCs w:val="12"/>
                <w:lang w:eastAsia="pl-PL"/>
              </w:rPr>
              <w:t>0,00</w:t>
            </w:r>
          </w:p>
        </w:tc>
      </w:tr>
    </w:tbl>
    <w:p w:rsidR="00923675" w:rsidRDefault="00923675" w:rsidP="00D61281">
      <w:pPr>
        <w:jc w:val="both"/>
        <w:rPr>
          <w:rFonts w:ascii="Times New Roman" w:eastAsia="Calibri" w:hAnsi="Times New Roman"/>
          <w:b/>
          <w:sz w:val="22"/>
          <w:szCs w:val="22"/>
        </w:rPr>
      </w:pPr>
    </w:p>
    <w:p w:rsidR="00D61281" w:rsidRPr="00D61281" w:rsidRDefault="00D61281" w:rsidP="00D61281">
      <w:pPr>
        <w:jc w:val="both"/>
        <w:rPr>
          <w:rFonts w:ascii="Times New Roman" w:eastAsia="Calibri" w:hAnsi="Times New Roman"/>
          <w:b/>
          <w:sz w:val="22"/>
          <w:szCs w:val="22"/>
        </w:rPr>
      </w:pPr>
    </w:p>
    <w:p w:rsidR="00D61281" w:rsidRPr="00D61281" w:rsidRDefault="00D61281" w:rsidP="00D61281">
      <w:pPr>
        <w:jc w:val="both"/>
        <w:rPr>
          <w:rFonts w:ascii="Times New Roman" w:eastAsia="Calibri" w:hAnsi="Times New Roman"/>
          <w:b/>
          <w:sz w:val="22"/>
          <w:szCs w:val="22"/>
        </w:rPr>
      </w:pPr>
    </w:p>
    <w:p w:rsidR="00D61281" w:rsidRPr="00D61281" w:rsidRDefault="00D61281" w:rsidP="00D61281">
      <w:pPr>
        <w:rPr>
          <w:rFonts w:ascii="Times New Roman" w:eastAsia="Times New Roman" w:hAnsi="Times New Roman"/>
          <w:color w:val="000000"/>
          <w:sz w:val="14"/>
          <w:szCs w:val="14"/>
          <w:lang w:eastAsia="pl-PL"/>
        </w:rPr>
        <w:sectPr w:rsidR="00D61281" w:rsidRPr="00D61281" w:rsidSect="004E6107">
          <w:pgSz w:w="15840" w:h="11894" w:orient="landscape"/>
          <w:pgMar w:top="1247" w:right="1418" w:bottom="1247" w:left="1440" w:header="709" w:footer="709" w:gutter="0"/>
          <w:cols w:space="708"/>
          <w:noEndnote/>
        </w:sectPr>
      </w:pPr>
    </w:p>
    <w:p w:rsidR="000D5AA9" w:rsidRPr="00B97867"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B97867">
        <w:rPr>
          <w:rFonts w:ascii="Times New Roman" w:hAnsi="Times New Roman"/>
          <w:b/>
          <w:bCs/>
          <w:sz w:val="22"/>
          <w:szCs w:val="22"/>
        </w:rPr>
        <w:lastRenderedPageBreak/>
        <w:t>Objaśnienia do uchwały Nr XI.</w:t>
      </w:r>
      <w:r w:rsidR="00B97867" w:rsidRPr="00B97867">
        <w:rPr>
          <w:rFonts w:ascii="Times New Roman" w:hAnsi="Times New Roman"/>
          <w:b/>
          <w:bCs/>
          <w:sz w:val="22"/>
          <w:szCs w:val="22"/>
        </w:rPr>
        <w:t>84</w:t>
      </w:r>
      <w:r w:rsidRPr="00B97867">
        <w:rPr>
          <w:rFonts w:ascii="Times New Roman" w:hAnsi="Times New Roman"/>
          <w:b/>
          <w:bCs/>
          <w:sz w:val="22"/>
          <w:szCs w:val="22"/>
        </w:rPr>
        <w:t>.2019</w:t>
      </w:r>
    </w:p>
    <w:p w:rsidR="000D5AA9" w:rsidRPr="00B97867"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B97867">
        <w:rPr>
          <w:rFonts w:ascii="Times New Roman" w:hAnsi="Times New Roman"/>
          <w:b/>
          <w:bCs/>
          <w:sz w:val="22"/>
          <w:szCs w:val="22"/>
        </w:rPr>
        <w:t>Rady Gminy Złotów z dnia 29 sierpnia 2019 r.</w:t>
      </w:r>
    </w:p>
    <w:p w:rsidR="000D5AA9" w:rsidRPr="00B97867"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0D5AA9" w:rsidRPr="00B97867"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B97867">
        <w:rPr>
          <w:rFonts w:ascii="Times New Roman" w:hAnsi="Times New Roman"/>
          <w:b/>
          <w:bCs/>
          <w:sz w:val="22"/>
          <w:szCs w:val="22"/>
        </w:rPr>
        <w:t>w sprawie wprowadzenia zmian do uchwały w sprawie uchwalenia Wieloletniej Prognozy Finansowej Gminy Złotów na lata 2019 – 2026.</w:t>
      </w:r>
    </w:p>
    <w:p w:rsidR="000D5AA9" w:rsidRPr="00B97867"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0D5AA9" w:rsidRPr="00B97867"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B97867">
        <w:rPr>
          <w:rFonts w:ascii="Times New Roman" w:hAnsi="Times New Roman"/>
          <w:b/>
          <w:bCs/>
          <w:sz w:val="22"/>
          <w:szCs w:val="22"/>
        </w:rPr>
        <w:t>Załącznik Nr 1 – Wieloletnia Prognoza Finansowa na lata 2019-2026.</w:t>
      </w:r>
    </w:p>
    <w:p w:rsidR="000D5AA9" w:rsidRPr="00B97867"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B97867">
        <w:rPr>
          <w:rFonts w:ascii="Times New Roman" w:hAnsi="Times New Roman"/>
          <w:sz w:val="22"/>
          <w:szCs w:val="22"/>
        </w:rPr>
        <w:t>Dla celów zachowania zgodności pomiędzy uchwałą budżetową na rok 2019, a Wieloletnią Prognozą Finansową w zakresie roku 2019 w odpowiednich pozycjach Wieloletniej Prognozy Finansowej wprowadzono zmiany wynikające ze zmian do uchwały budżetowej wprowadzonych uchwałą Rady Gminy Złotów Nr XI.</w:t>
      </w:r>
      <w:r w:rsidR="00B97867" w:rsidRPr="00B97867">
        <w:rPr>
          <w:rFonts w:ascii="Times New Roman" w:hAnsi="Times New Roman"/>
          <w:sz w:val="22"/>
          <w:szCs w:val="22"/>
        </w:rPr>
        <w:t>85</w:t>
      </w:r>
      <w:r w:rsidRPr="00B97867">
        <w:rPr>
          <w:rFonts w:ascii="Times New Roman" w:hAnsi="Times New Roman"/>
          <w:sz w:val="22"/>
          <w:szCs w:val="22"/>
        </w:rPr>
        <w:t xml:space="preserve">.2019 z dnia 29 sierpnia 2019 r. </w:t>
      </w:r>
    </w:p>
    <w:p w:rsidR="000D5AA9" w:rsidRPr="00163C1B"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0D5AA9" w:rsidRPr="00720CA4"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720CA4">
        <w:rPr>
          <w:rFonts w:ascii="Times New Roman" w:hAnsi="Times New Roman"/>
          <w:sz w:val="22"/>
          <w:szCs w:val="22"/>
        </w:rPr>
        <w:t>Zwiększone zostały prognozowane kwoty dochodów</w:t>
      </w:r>
      <w:r w:rsidRPr="00720CA4">
        <w:rPr>
          <w:rFonts w:ascii="Times New Roman" w:hAnsi="Times New Roman"/>
          <w:b/>
          <w:bCs/>
          <w:sz w:val="22"/>
          <w:szCs w:val="22"/>
        </w:rPr>
        <w:t xml:space="preserve"> </w:t>
      </w:r>
      <w:r w:rsidRPr="00720CA4">
        <w:rPr>
          <w:rFonts w:ascii="Times New Roman" w:hAnsi="Times New Roman"/>
          <w:sz w:val="22"/>
          <w:szCs w:val="22"/>
        </w:rPr>
        <w:t xml:space="preserve">o </w:t>
      </w:r>
      <w:r w:rsidR="00463A03" w:rsidRPr="00720CA4">
        <w:rPr>
          <w:rFonts w:ascii="Times New Roman" w:hAnsi="Times New Roman"/>
          <w:sz w:val="22"/>
          <w:szCs w:val="22"/>
        </w:rPr>
        <w:t>940.407,93</w:t>
      </w:r>
      <w:r w:rsidRPr="00720CA4">
        <w:rPr>
          <w:rFonts w:ascii="Times New Roman" w:hAnsi="Times New Roman"/>
          <w:sz w:val="22"/>
          <w:szCs w:val="22"/>
        </w:rPr>
        <w:t xml:space="preserve"> zł, to jest do kwoty 47.</w:t>
      </w:r>
      <w:r w:rsidR="00463A03" w:rsidRPr="00720CA4">
        <w:rPr>
          <w:rFonts w:ascii="Times New Roman" w:hAnsi="Times New Roman"/>
          <w:sz w:val="22"/>
          <w:szCs w:val="22"/>
        </w:rPr>
        <w:t>700.881,31</w:t>
      </w:r>
      <w:r w:rsidRPr="00720CA4">
        <w:rPr>
          <w:rFonts w:ascii="Times New Roman" w:hAnsi="Times New Roman"/>
          <w:sz w:val="22"/>
          <w:szCs w:val="22"/>
        </w:rPr>
        <w:t xml:space="preserve"> zł, </w:t>
      </w:r>
    </w:p>
    <w:p w:rsidR="000D5AA9" w:rsidRPr="00720CA4"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720CA4">
        <w:rPr>
          <w:rFonts w:ascii="Times New Roman" w:hAnsi="Times New Roman"/>
          <w:sz w:val="22"/>
          <w:szCs w:val="22"/>
        </w:rPr>
        <w:t xml:space="preserve">z tego: </w:t>
      </w:r>
    </w:p>
    <w:p w:rsidR="000D5AA9" w:rsidRPr="00720CA4" w:rsidRDefault="000D5AA9" w:rsidP="000D5AA9">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720CA4">
        <w:rPr>
          <w:rFonts w:ascii="Times New Roman" w:hAnsi="Times New Roman"/>
          <w:sz w:val="22"/>
          <w:szCs w:val="22"/>
        </w:rPr>
        <w:t xml:space="preserve">- bieżących – zwiększenie o </w:t>
      </w:r>
      <w:r w:rsidR="00720CA4" w:rsidRPr="00720CA4">
        <w:rPr>
          <w:rFonts w:ascii="Times New Roman" w:hAnsi="Times New Roman"/>
          <w:sz w:val="22"/>
          <w:szCs w:val="22"/>
        </w:rPr>
        <w:t>842.807,93</w:t>
      </w:r>
      <w:r w:rsidRPr="00720CA4">
        <w:rPr>
          <w:rFonts w:ascii="Times New Roman" w:hAnsi="Times New Roman"/>
          <w:sz w:val="22"/>
          <w:szCs w:val="22"/>
        </w:rPr>
        <w:t xml:space="preserve"> zł, to jest do kwoty 43.</w:t>
      </w:r>
      <w:r w:rsidR="00720CA4" w:rsidRPr="00720CA4">
        <w:rPr>
          <w:rFonts w:ascii="Times New Roman" w:hAnsi="Times New Roman"/>
          <w:sz w:val="22"/>
          <w:szCs w:val="22"/>
        </w:rPr>
        <w:t>816.895,22</w:t>
      </w:r>
      <w:r w:rsidRPr="00720CA4">
        <w:rPr>
          <w:rFonts w:ascii="Times New Roman" w:hAnsi="Times New Roman"/>
          <w:sz w:val="22"/>
          <w:szCs w:val="22"/>
        </w:rPr>
        <w:t xml:space="preserve"> zł,</w:t>
      </w:r>
    </w:p>
    <w:p w:rsidR="000D5AA9" w:rsidRPr="00720CA4" w:rsidRDefault="000D5AA9" w:rsidP="000D5AA9">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720CA4">
        <w:rPr>
          <w:rFonts w:ascii="Times New Roman" w:hAnsi="Times New Roman"/>
          <w:sz w:val="22"/>
          <w:szCs w:val="22"/>
        </w:rPr>
        <w:t xml:space="preserve">   w tym:</w:t>
      </w:r>
    </w:p>
    <w:p w:rsidR="000D5AA9" w:rsidRPr="00720CA4" w:rsidRDefault="000D5AA9" w:rsidP="000D5AA9">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720CA4">
        <w:rPr>
          <w:rFonts w:ascii="Times New Roman" w:hAnsi="Times New Roman"/>
          <w:sz w:val="22"/>
          <w:szCs w:val="22"/>
        </w:rPr>
        <w:t xml:space="preserve">   - dotacje i środki przeznaczone na cele bieżące – zwiększenie o </w:t>
      </w:r>
      <w:r w:rsidR="00720CA4" w:rsidRPr="00720CA4">
        <w:rPr>
          <w:rFonts w:ascii="Times New Roman" w:hAnsi="Times New Roman"/>
          <w:sz w:val="22"/>
          <w:szCs w:val="22"/>
        </w:rPr>
        <w:t>864.307</w:t>
      </w:r>
      <w:r w:rsidRPr="00720CA4">
        <w:rPr>
          <w:rFonts w:ascii="Times New Roman" w:hAnsi="Times New Roman"/>
          <w:sz w:val="22"/>
          <w:szCs w:val="22"/>
        </w:rPr>
        <w:t>,93 zł,</w:t>
      </w:r>
    </w:p>
    <w:p w:rsidR="000D5AA9" w:rsidRPr="00720CA4" w:rsidRDefault="000D5AA9" w:rsidP="000D5AA9">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720CA4">
        <w:rPr>
          <w:rFonts w:ascii="Times New Roman" w:hAnsi="Times New Roman"/>
          <w:sz w:val="22"/>
          <w:szCs w:val="22"/>
        </w:rPr>
        <w:t>- majątkowych – zwiększenie o 97.600,00 zł, to jest do kwoty 3.883.986,09 zł,</w:t>
      </w:r>
    </w:p>
    <w:p w:rsidR="000D5AA9" w:rsidRPr="00720CA4" w:rsidRDefault="000D5AA9" w:rsidP="000D5AA9">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720CA4">
        <w:rPr>
          <w:rFonts w:ascii="Times New Roman" w:hAnsi="Times New Roman"/>
          <w:sz w:val="22"/>
          <w:szCs w:val="22"/>
        </w:rPr>
        <w:t xml:space="preserve">   w tym:</w:t>
      </w:r>
    </w:p>
    <w:p w:rsidR="000D5AA9" w:rsidRPr="00720CA4" w:rsidRDefault="000D5AA9" w:rsidP="000D5AA9">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720CA4">
        <w:rPr>
          <w:rFonts w:ascii="Times New Roman" w:hAnsi="Times New Roman"/>
          <w:sz w:val="22"/>
          <w:szCs w:val="22"/>
        </w:rPr>
        <w:t xml:space="preserve">    - dotacje oraz środki przeznaczone na inwestycje – zwiększenie o 97.600,00 zł.</w:t>
      </w:r>
    </w:p>
    <w:p w:rsidR="000D5AA9" w:rsidRPr="00163C1B"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0D5AA9" w:rsidRPr="00077DBC"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077DBC">
        <w:rPr>
          <w:rFonts w:ascii="Times New Roman" w:hAnsi="Times New Roman"/>
          <w:sz w:val="22"/>
          <w:szCs w:val="22"/>
        </w:rPr>
        <w:t>Zwiększone zostały planowane kwoty wydatków</w:t>
      </w:r>
      <w:r w:rsidRPr="00077DBC">
        <w:rPr>
          <w:rFonts w:ascii="Times New Roman" w:hAnsi="Times New Roman"/>
          <w:b/>
          <w:bCs/>
          <w:sz w:val="22"/>
          <w:szCs w:val="22"/>
        </w:rPr>
        <w:t xml:space="preserve"> </w:t>
      </w:r>
      <w:r w:rsidRPr="00077DBC">
        <w:rPr>
          <w:rFonts w:ascii="Times New Roman" w:hAnsi="Times New Roman"/>
          <w:sz w:val="22"/>
          <w:szCs w:val="22"/>
        </w:rPr>
        <w:t xml:space="preserve">o </w:t>
      </w:r>
      <w:r w:rsidR="00077DBC" w:rsidRPr="00077DBC">
        <w:rPr>
          <w:rFonts w:ascii="Times New Roman" w:hAnsi="Times New Roman"/>
          <w:sz w:val="22"/>
          <w:szCs w:val="22"/>
        </w:rPr>
        <w:t>940.407,93</w:t>
      </w:r>
      <w:r w:rsidRPr="00077DBC">
        <w:rPr>
          <w:rFonts w:ascii="Times New Roman" w:hAnsi="Times New Roman"/>
          <w:sz w:val="22"/>
          <w:szCs w:val="22"/>
        </w:rPr>
        <w:t xml:space="preserve"> zł, to jest do kwoty 51.</w:t>
      </w:r>
      <w:r w:rsidR="00077DBC" w:rsidRPr="00077DBC">
        <w:rPr>
          <w:rFonts w:ascii="Times New Roman" w:hAnsi="Times New Roman"/>
          <w:sz w:val="22"/>
          <w:szCs w:val="22"/>
        </w:rPr>
        <w:t>793.901</w:t>
      </w:r>
      <w:r w:rsidRPr="00077DBC">
        <w:rPr>
          <w:rFonts w:ascii="Times New Roman" w:hAnsi="Times New Roman"/>
          <w:sz w:val="22"/>
          <w:szCs w:val="22"/>
        </w:rPr>
        <w:t xml:space="preserve">,19 zł, </w:t>
      </w:r>
    </w:p>
    <w:p w:rsidR="000D5AA9" w:rsidRPr="00077DBC"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077DBC">
        <w:rPr>
          <w:rFonts w:ascii="Times New Roman" w:hAnsi="Times New Roman"/>
          <w:sz w:val="22"/>
          <w:szCs w:val="22"/>
        </w:rPr>
        <w:t>z tego:</w:t>
      </w:r>
    </w:p>
    <w:p w:rsidR="000D5AA9" w:rsidRPr="00077DBC" w:rsidRDefault="000D5AA9" w:rsidP="000D5AA9">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077DBC">
        <w:rPr>
          <w:rFonts w:ascii="Times New Roman" w:hAnsi="Times New Roman"/>
          <w:sz w:val="22"/>
          <w:szCs w:val="22"/>
        </w:rPr>
        <w:t xml:space="preserve">- bieżących – zwiększenie o </w:t>
      </w:r>
      <w:r w:rsidR="00077DBC" w:rsidRPr="00077DBC">
        <w:rPr>
          <w:rFonts w:ascii="Times New Roman" w:hAnsi="Times New Roman"/>
          <w:sz w:val="22"/>
          <w:szCs w:val="22"/>
        </w:rPr>
        <w:t>883.803,97</w:t>
      </w:r>
      <w:r w:rsidRPr="00077DBC">
        <w:rPr>
          <w:rFonts w:ascii="Times New Roman" w:hAnsi="Times New Roman"/>
          <w:sz w:val="22"/>
          <w:szCs w:val="22"/>
        </w:rPr>
        <w:t xml:space="preserve"> zł, to jest do kwoty 38.</w:t>
      </w:r>
      <w:r w:rsidR="00077DBC" w:rsidRPr="00077DBC">
        <w:rPr>
          <w:rFonts w:ascii="Times New Roman" w:hAnsi="Times New Roman"/>
          <w:sz w:val="22"/>
          <w:szCs w:val="22"/>
        </w:rPr>
        <w:t>806.001,79</w:t>
      </w:r>
      <w:r w:rsidRPr="00077DBC">
        <w:rPr>
          <w:rFonts w:ascii="Times New Roman" w:hAnsi="Times New Roman"/>
          <w:sz w:val="22"/>
          <w:szCs w:val="22"/>
        </w:rPr>
        <w:t xml:space="preserve"> zł,</w:t>
      </w:r>
    </w:p>
    <w:p w:rsidR="000D5AA9" w:rsidRPr="00077DBC"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077DBC">
        <w:rPr>
          <w:rFonts w:ascii="Times New Roman" w:hAnsi="Times New Roman"/>
          <w:sz w:val="22"/>
          <w:szCs w:val="22"/>
        </w:rPr>
        <w:t xml:space="preserve">- majątkowych – zwiększenie o </w:t>
      </w:r>
      <w:r w:rsidR="00077DBC" w:rsidRPr="00077DBC">
        <w:rPr>
          <w:rFonts w:ascii="Times New Roman" w:hAnsi="Times New Roman"/>
          <w:sz w:val="22"/>
          <w:szCs w:val="22"/>
        </w:rPr>
        <w:t>56.603,96</w:t>
      </w:r>
      <w:r w:rsidRPr="00077DBC">
        <w:rPr>
          <w:rFonts w:ascii="Times New Roman" w:hAnsi="Times New Roman"/>
          <w:sz w:val="22"/>
          <w:szCs w:val="22"/>
        </w:rPr>
        <w:t xml:space="preserve"> zł, to jest do kwoty 12.</w:t>
      </w:r>
      <w:r w:rsidR="00077DBC" w:rsidRPr="00077DBC">
        <w:rPr>
          <w:rFonts w:ascii="Times New Roman" w:hAnsi="Times New Roman"/>
          <w:sz w:val="22"/>
          <w:szCs w:val="22"/>
        </w:rPr>
        <w:t>987.899,40</w:t>
      </w:r>
      <w:r w:rsidRPr="00077DBC">
        <w:rPr>
          <w:rFonts w:ascii="Times New Roman" w:hAnsi="Times New Roman"/>
          <w:sz w:val="22"/>
          <w:szCs w:val="22"/>
        </w:rPr>
        <w:t xml:space="preserve"> zł.</w:t>
      </w:r>
    </w:p>
    <w:p w:rsidR="000D5AA9" w:rsidRPr="00163C1B"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0D5AA9" w:rsidRPr="0067238B"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67238B">
        <w:rPr>
          <w:rFonts w:ascii="Times New Roman" w:hAnsi="Times New Roman"/>
          <w:sz w:val="22"/>
          <w:szCs w:val="22"/>
        </w:rPr>
        <w:t xml:space="preserve">Różnica między dochodami bieżącymi, a wydatkami bieżącymi (art. 242 ustawy) zmniejszyła się o kwotę </w:t>
      </w:r>
      <w:r w:rsidR="0067238B" w:rsidRPr="0067238B">
        <w:rPr>
          <w:rFonts w:ascii="Times New Roman" w:hAnsi="Times New Roman"/>
          <w:sz w:val="22"/>
          <w:szCs w:val="22"/>
        </w:rPr>
        <w:t>40.996,04</w:t>
      </w:r>
      <w:r w:rsidRPr="0067238B">
        <w:rPr>
          <w:rFonts w:ascii="Times New Roman" w:hAnsi="Times New Roman"/>
          <w:sz w:val="22"/>
          <w:szCs w:val="22"/>
        </w:rPr>
        <w:t xml:space="preserve"> zł i wynosi 5.</w:t>
      </w:r>
      <w:r w:rsidR="0067238B" w:rsidRPr="0067238B">
        <w:rPr>
          <w:rFonts w:ascii="Times New Roman" w:hAnsi="Times New Roman"/>
          <w:sz w:val="22"/>
          <w:szCs w:val="22"/>
        </w:rPr>
        <w:t>010.893,43</w:t>
      </w:r>
      <w:r w:rsidRPr="0067238B">
        <w:rPr>
          <w:rFonts w:ascii="Times New Roman" w:hAnsi="Times New Roman"/>
          <w:sz w:val="22"/>
          <w:szCs w:val="22"/>
        </w:rPr>
        <w:t xml:space="preserve"> zł.</w:t>
      </w:r>
    </w:p>
    <w:p w:rsidR="000D5AA9" w:rsidRPr="00163C1B" w:rsidRDefault="000D5AA9" w:rsidP="000D5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0D5AA9" w:rsidRPr="0067238B"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67238B">
        <w:rPr>
          <w:rFonts w:ascii="Times New Roman" w:hAnsi="Times New Roman"/>
          <w:sz w:val="22"/>
          <w:szCs w:val="22"/>
        </w:rPr>
        <w:t>Po wprowadzeniu do WPF wyżej omówionych zmian, wskaźnik łącznej kwoty spłaty zobowiązań,            do dochodów ogółem, po uwzględnieniu ustawowych wyłączeń, dla roku 2019 zmniejszył się o 0,06 %      i wynosi 3,07 %.</w:t>
      </w:r>
    </w:p>
    <w:p w:rsidR="000D5AA9" w:rsidRPr="0067238B" w:rsidRDefault="000D5AA9" w:rsidP="000D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0D5AA9" w:rsidRPr="0067238B"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67238B">
        <w:rPr>
          <w:rFonts w:ascii="Times New Roman" w:hAnsi="Times New Roman"/>
          <w:sz w:val="22"/>
          <w:szCs w:val="22"/>
        </w:rPr>
        <w:t>Zaktualizowano również pozostałe dane wynikające ze szczegółowości Wieloletniej Prognozy Finansowej.</w:t>
      </w:r>
    </w:p>
    <w:p w:rsidR="000D5AA9" w:rsidRPr="00163C1B"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color w:val="FF0000"/>
          <w:sz w:val="22"/>
          <w:szCs w:val="22"/>
        </w:rPr>
      </w:pPr>
    </w:p>
    <w:p w:rsidR="000D5AA9" w:rsidRPr="0067238B" w:rsidRDefault="000D5AA9" w:rsidP="000D5AA9">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b/>
          <w:bCs/>
          <w:sz w:val="22"/>
          <w:szCs w:val="22"/>
        </w:rPr>
      </w:pPr>
      <w:r w:rsidRPr="0067238B">
        <w:rPr>
          <w:rFonts w:ascii="Times New Roman" w:hAnsi="Times New Roman"/>
          <w:b/>
          <w:bCs/>
          <w:sz w:val="22"/>
          <w:szCs w:val="22"/>
        </w:rPr>
        <w:t>Załącznik Nr 2 – Wykaz Wieloletnich Przedsięwzięć Finansowych</w:t>
      </w:r>
    </w:p>
    <w:p w:rsidR="000D5AA9" w:rsidRPr="007671C6" w:rsidRDefault="000D5AA9" w:rsidP="000D5A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7671C6">
        <w:rPr>
          <w:rFonts w:ascii="Times New Roman" w:hAnsi="Times New Roman"/>
          <w:sz w:val="22"/>
          <w:szCs w:val="22"/>
        </w:rPr>
        <w:t xml:space="preserve">Dokonano zmian łącznych nakładów finansowych, limitu wydatków roku 2019 oraz limitu zobowiązań </w:t>
      </w:r>
      <w:r w:rsidRPr="007671C6">
        <w:rPr>
          <w:rFonts w:ascii="Times New Roman" w:hAnsi="Times New Roman"/>
          <w:sz w:val="22"/>
          <w:szCs w:val="22"/>
        </w:rPr>
        <w:br/>
        <w:t xml:space="preserve">w przedsięwzięciach </w:t>
      </w:r>
      <w:r w:rsidR="003112CE">
        <w:rPr>
          <w:rFonts w:ascii="Times New Roman" w:hAnsi="Times New Roman"/>
          <w:sz w:val="22"/>
          <w:szCs w:val="22"/>
        </w:rPr>
        <w:t xml:space="preserve">majątkowych </w:t>
      </w:r>
      <w:r w:rsidRPr="007671C6">
        <w:rPr>
          <w:rFonts w:ascii="Times New Roman" w:hAnsi="Times New Roman"/>
          <w:sz w:val="22"/>
          <w:szCs w:val="22"/>
        </w:rPr>
        <w:t>o nazwie:</w:t>
      </w:r>
    </w:p>
    <w:p w:rsidR="007671C6" w:rsidRPr="007671C6" w:rsidRDefault="0067238B" w:rsidP="000D5A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7671C6">
        <w:rPr>
          <w:rFonts w:ascii="Times New Roman" w:hAnsi="Times New Roman"/>
          <w:sz w:val="22"/>
          <w:szCs w:val="22"/>
        </w:rPr>
        <w:t>- „Budowa świetlicy wiejskiej wraz z zagospodarowaniem terenu w m. Stawnica” – zwiększenie o kwotę 1.300 zł,</w:t>
      </w:r>
    </w:p>
    <w:p w:rsidR="000D5AA9" w:rsidRPr="007671C6" w:rsidRDefault="000D5AA9" w:rsidP="000D5A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7671C6">
        <w:rPr>
          <w:rFonts w:ascii="Times New Roman" w:hAnsi="Times New Roman"/>
          <w:sz w:val="22"/>
          <w:szCs w:val="22"/>
        </w:rPr>
        <w:t>-  „Budowa sieci kanalizacji sanitarnej w m. Wąsosz” – zwiększenie o kwotę 200,00 zł,</w:t>
      </w:r>
    </w:p>
    <w:p w:rsidR="000D5AA9" w:rsidRPr="007671C6" w:rsidRDefault="000D5AA9" w:rsidP="000D5A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7671C6">
        <w:rPr>
          <w:rFonts w:ascii="Times New Roman" w:hAnsi="Times New Roman"/>
          <w:sz w:val="22"/>
          <w:szCs w:val="22"/>
        </w:rPr>
        <w:t xml:space="preserve">- „Budowa sieci wodociągowej w m. Święta (dz. Nr 792/4)” – zmniejszenie o kwotę </w:t>
      </w:r>
      <w:r w:rsidR="001C11CB">
        <w:rPr>
          <w:rFonts w:ascii="Times New Roman" w:hAnsi="Times New Roman"/>
          <w:sz w:val="22"/>
          <w:szCs w:val="22"/>
        </w:rPr>
        <w:t>1</w:t>
      </w:r>
      <w:bookmarkStart w:id="0" w:name="_GoBack"/>
      <w:bookmarkEnd w:id="0"/>
      <w:r w:rsidRPr="007671C6">
        <w:rPr>
          <w:rFonts w:ascii="Times New Roman" w:hAnsi="Times New Roman"/>
          <w:sz w:val="22"/>
          <w:szCs w:val="22"/>
        </w:rPr>
        <w:t>2.000,00 zł,</w:t>
      </w:r>
    </w:p>
    <w:p w:rsidR="000D5AA9" w:rsidRPr="007671C6" w:rsidRDefault="000D5AA9" w:rsidP="000D5A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7671C6">
        <w:rPr>
          <w:rFonts w:ascii="Times New Roman" w:hAnsi="Times New Roman"/>
          <w:sz w:val="22"/>
          <w:szCs w:val="22"/>
        </w:rPr>
        <w:t>- „Przebudowa budynku socjalno-gospodarczego przy Urzędzie Gminy Złotów” – zwiększenie o kwotę 22.000,00 zł.</w:t>
      </w:r>
    </w:p>
    <w:p w:rsidR="00AB0166" w:rsidRDefault="003112CE" w:rsidP="00AB01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AB0166">
        <w:rPr>
          <w:rFonts w:ascii="Times New Roman" w:hAnsi="Times New Roman"/>
          <w:sz w:val="22"/>
          <w:szCs w:val="22"/>
        </w:rPr>
        <w:t>O 73.500,00 zł zwiększono łączne nakłady finansowe oraz limit zobowiązań na przedsięwzięcie bieżące pn. „</w:t>
      </w:r>
      <w:r w:rsidR="00AB0166" w:rsidRPr="00AB0166">
        <w:rPr>
          <w:rFonts w:ascii="Times New Roman" w:hAnsi="Times New Roman"/>
          <w:sz w:val="22"/>
          <w:szCs w:val="22"/>
        </w:rPr>
        <w:t>Zorganizowany dowóz uczniów do szkół w roku szkolnym 2019/2020”, zwiększono również limit roku 2019 i 2020 odpowiednio o 28.900,00 zł i 44.600,00 zł.</w:t>
      </w:r>
    </w:p>
    <w:p w:rsidR="00AB0166" w:rsidRDefault="00AB0166" w:rsidP="00AB01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C669A7" w:rsidRPr="0067238B" w:rsidRDefault="000D5AA9" w:rsidP="00AB01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67238B">
        <w:rPr>
          <w:rFonts w:ascii="Times New Roman" w:hAnsi="Times New Roman"/>
          <w:sz w:val="22"/>
          <w:szCs w:val="22"/>
        </w:rPr>
        <w:t>Uwzględniając podpisane już umowy na wykonanie przedsięwzięć, zmniejszone zostały odpowiednio limity zobowiązań.</w:t>
      </w:r>
    </w:p>
    <w:sectPr w:rsidR="00C669A7" w:rsidRPr="0067238B" w:rsidSect="004E6107">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EE" w:rsidRDefault="00F24AEE">
      <w:r>
        <w:separator/>
      </w:r>
    </w:p>
  </w:endnote>
  <w:endnote w:type="continuationSeparator" w:id="0">
    <w:p w:rsidR="00F24AEE" w:rsidRDefault="00F2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EE" w:rsidRDefault="00F24AEE">
      <w:r>
        <w:separator/>
      </w:r>
    </w:p>
  </w:footnote>
  <w:footnote w:type="continuationSeparator" w:id="0">
    <w:p w:rsidR="00F24AEE" w:rsidRDefault="00F2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EndPr/>
    <w:sdtContent>
      <w:p w:rsidR="00463A03" w:rsidRDefault="00463A03">
        <w:pPr>
          <w:pStyle w:val="Nagwek"/>
          <w:jc w:val="center"/>
        </w:pPr>
        <w:r w:rsidRPr="00DD59F2">
          <w:rPr>
            <w:rFonts w:ascii="Times New Roman" w:hAnsi="Times New Roman"/>
          </w:rPr>
          <w:fldChar w:fldCharType="begin"/>
        </w:r>
        <w:r w:rsidRPr="00DD59F2">
          <w:rPr>
            <w:rFonts w:ascii="Times New Roman" w:hAnsi="Times New Roman"/>
          </w:rPr>
          <w:instrText xml:space="preserve"> PAGE   \* MERGEFORMAT </w:instrText>
        </w:r>
        <w:r w:rsidRPr="00DD59F2">
          <w:rPr>
            <w:rFonts w:ascii="Times New Roman" w:hAnsi="Times New Roman"/>
          </w:rPr>
          <w:fldChar w:fldCharType="separate"/>
        </w:r>
        <w:r w:rsidR="001C11CB">
          <w:rPr>
            <w:rFonts w:ascii="Times New Roman" w:hAnsi="Times New Roman"/>
            <w:noProof/>
          </w:rPr>
          <w:t>16</w:t>
        </w:r>
        <w:r w:rsidRPr="00DD59F2">
          <w:rPr>
            <w:rFonts w:ascii="Times New Roman" w:hAnsi="Times New Roman"/>
            <w:noProof/>
          </w:rPr>
          <w:fldChar w:fldCharType="end"/>
        </w:r>
      </w:p>
    </w:sdtContent>
  </w:sdt>
  <w:p w:rsidR="00463A03" w:rsidRDefault="00463A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3"/>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4"/>
  </w:num>
  <w:num w:numId="19">
    <w:abstractNumId w:val="21"/>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81"/>
    <w:rsid w:val="000245A8"/>
    <w:rsid w:val="00077DBC"/>
    <w:rsid w:val="000938F6"/>
    <w:rsid w:val="000D5AA9"/>
    <w:rsid w:val="00163C1B"/>
    <w:rsid w:val="001C11CB"/>
    <w:rsid w:val="003112CE"/>
    <w:rsid w:val="00410365"/>
    <w:rsid w:val="00455C23"/>
    <w:rsid w:val="00463A03"/>
    <w:rsid w:val="00477A11"/>
    <w:rsid w:val="004E6107"/>
    <w:rsid w:val="005973B4"/>
    <w:rsid w:val="006625C3"/>
    <w:rsid w:val="0067238B"/>
    <w:rsid w:val="006755F5"/>
    <w:rsid w:val="00720CA4"/>
    <w:rsid w:val="007618AA"/>
    <w:rsid w:val="007671C6"/>
    <w:rsid w:val="009123E8"/>
    <w:rsid w:val="00923675"/>
    <w:rsid w:val="00A11DCA"/>
    <w:rsid w:val="00A83894"/>
    <w:rsid w:val="00AB012F"/>
    <w:rsid w:val="00AB0166"/>
    <w:rsid w:val="00B901B1"/>
    <w:rsid w:val="00B97867"/>
    <w:rsid w:val="00BD6DFE"/>
    <w:rsid w:val="00BF29CC"/>
    <w:rsid w:val="00C669A7"/>
    <w:rsid w:val="00CF612B"/>
    <w:rsid w:val="00D61281"/>
    <w:rsid w:val="00F24AEE"/>
    <w:rsid w:val="00F96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D61281"/>
  </w:style>
  <w:style w:type="paragraph" w:styleId="NormalnyWeb">
    <w:name w:val="Normal (Web)"/>
    <w:basedOn w:val="Normalny"/>
    <w:uiPriority w:val="99"/>
    <w:rsid w:val="00D61281"/>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D61281"/>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D61281"/>
    <w:rPr>
      <w:rFonts w:eastAsia="Times New Roman"/>
      <w:lang w:eastAsia="pl-PL"/>
    </w:rPr>
  </w:style>
  <w:style w:type="paragraph" w:styleId="Stopka">
    <w:name w:val="footer"/>
    <w:basedOn w:val="Normalny"/>
    <w:link w:val="StopkaZnak"/>
    <w:uiPriority w:val="99"/>
    <w:unhideWhenUsed/>
    <w:rsid w:val="00D61281"/>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D61281"/>
    <w:rPr>
      <w:rFonts w:eastAsia="Times New Roman"/>
      <w:lang w:eastAsia="pl-PL"/>
    </w:rPr>
  </w:style>
  <w:style w:type="paragraph" w:customStyle="1" w:styleId="Normal">
    <w:name w:val="[Normal]"/>
    <w:uiPriority w:val="99"/>
    <w:rsid w:val="00D61281"/>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61281"/>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61281"/>
    <w:rPr>
      <w:rFonts w:ascii="Tahoma" w:eastAsia="Times New Roman" w:hAnsi="Tahoma" w:cs="Tahoma"/>
      <w:sz w:val="16"/>
      <w:szCs w:val="16"/>
      <w:lang w:eastAsia="pl-PL"/>
    </w:rPr>
  </w:style>
  <w:style w:type="paragraph" w:styleId="Tekstprzypisudolnego">
    <w:name w:val="footnote text"/>
    <w:basedOn w:val="Normalny"/>
    <w:link w:val="TekstprzypisudolnegoZnak"/>
    <w:rsid w:val="00D6128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D61281"/>
    <w:rPr>
      <w:rFonts w:ascii="Times New Roman" w:eastAsia="Times New Roman" w:hAnsi="Times New Roman"/>
      <w:sz w:val="20"/>
      <w:szCs w:val="20"/>
      <w:lang w:eastAsia="pl-PL"/>
    </w:rPr>
  </w:style>
  <w:style w:type="paragraph" w:customStyle="1" w:styleId="Default">
    <w:name w:val="Default"/>
    <w:rsid w:val="00D6128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D61281"/>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1281"/>
    <w:rPr>
      <w:rFonts w:eastAsia="Times New Roman"/>
      <w:sz w:val="20"/>
      <w:szCs w:val="20"/>
      <w:lang w:eastAsia="pl-PL"/>
    </w:rPr>
  </w:style>
  <w:style w:type="character" w:styleId="Odwoanieprzypisukocowego">
    <w:name w:val="endnote reference"/>
    <w:basedOn w:val="Domylnaczcionkaakapitu"/>
    <w:uiPriority w:val="99"/>
    <w:semiHidden/>
    <w:unhideWhenUsed/>
    <w:rsid w:val="00D61281"/>
    <w:rPr>
      <w:vertAlign w:val="superscript"/>
    </w:rPr>
  </w:style>
  <w:style w:type="numbering" w:customStyle="1" w:styleId="Bezlisty11">
    <w:name w:val="Bez listy11"/>
    <w:next w:val="Bezlisty"/>
    <w:uiPriority w:val="99"/>
    <w:semiHidden/>
    <w:unhideWhenUsed/>
    <w:rsid w:val="00D61281"/>
  </w:style>
  <w:style w:type="paragraph" w:customStyle="1" w:styleId="Bezodstpw1">
    <w:name w:val="Bez odstępów1"/>
    <w:rsid w:val="00D61281"/>
    <w:rPr>
      <w:rFonts w:ascii="Calibri" w:eastAsia="Times New Roman" w:hAnsi="Calibri"/>
    </w:rPr>
  </w:style>
  <w:style w:type="numbering" w:customStyle="1" w:styleId="Bezlisty111">
    <w:name w:val="Bez listy111"/>
    <w:next w:val="Bezlisty"/>
    <w:uiPriority w:val="99"/>
    <w:semiHidden/>
    <w:unhideWhenUsed/>
    <w:rsid w:val="00D61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D61281"/>
  </w:style>
  <w:style w:type="paragraph" w:styleId="NormalnyWeb">
    <w:name w:val="Normal (Web)"/>
    <w:basedOn w:val="Normalny"/>
    <w:uiPriority w:val="99"/>
    <w:rsid w:val="00D61281"/>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D61281"/>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D61281"/>
    <w:rPr>
      <w:rFonts w:eastAsia="Times New Roman"/>
      <w:lang w:eastAsia="pl-PL"/>
    </w:rPr>
  </w:style>
  <w:style w:type="paragraph" w:styleId="Stopka">
    <w:name w:val="footer"/>
    <w:basedOn w:val="Normalny"/>
    <w:link w:val="StopkaZnak"/>
    <w:uiPriority w:val="99"/>
    <w:unhideWhenUsed/>
    <w:rsid w:val="00D61281"/>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D61281"/>
    <w:rPr>
      <w:rFonts w:eastAsia="Times New Roman"/>
      <w:lang w:eastAsia="pl-PL"/>
    </w:rPr>
  </w:style>
  <w:style w:type="paragraph" w:customStyle="1" w:styleId="Normal">
    <w:name w:val="[Normal]"/>
    <w:uiPriority w:val="99"/>
    <w:rsid w:val="00D61281"/>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61281"/>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61281"/>
    <w:rPr>
      <w:rFonts w:ascii="Tahoma" w:eastAsia="Times New Roman" w:hAnsi="Tahoma" w:cs="Tahoma"/>
      <w:sz w:val="16"/>
      <w:szCs w:val="16"/>
      <w:lang w:eastAsia="pl-PL"/>
    </w:rPr>
  </w:style>
  <w:style w:type="paragraph" w:styleId="Tekstprzypisudolnego">
    <w:name w:val="footnote text"/>
    <w:basedOn w:val="Normalny"/>
    <w:link w:val="TekstprzypisudolnegoZnak"/>
    <w:rsid w:val="00D6128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D61281"/>
    <w:rPr>
      <w:rFonts w:ascii="Times New Roman" w:eastAsia="Times New Roman" w:hAnsi="Times New Roman"/>
      <w:sz w:val="20"/>
      <w:szCs w:val="20"/>
      <w:lang w:eastAsia="pl-PL"/>
    </w:rPr>
  </w:style>
  <w:style w:type="paragraph" w:customStyle="1" w:styleId="Default">
    <w:name w:val="Default"/>
    <w:rsid w:val="00D6128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D61281"/>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1281"/>
    <w:rPr>
      <w:rFonts w:eastAsia="Times New Roman"/>
      <w:sz w:val="20"/>
      <w:szCs w:val="20"/>
      <w:lang w:eastAsia="pl-PL"/>
    </w:rPr>
  </w:style>
  <w:style w:type="character" w:styleId="Odwoanieprzypisukocowego">
    <w:name w:val="endnote reference"/>
    <w:basedOn w:val="Domylnaczcionkaakapitu"/>
    <w:uiPriority w:val="99"/>
    <w:semiHidden/>
    <w:unhideWhenUsed/>
    <w:rsid w:val="00D61281"/>
    <w:rPr>
      <w:vertAlign w:val="superscript"/>
    </w:rPr>
  </w:style>
  <w:style w:type="numbering" w:customStyle="1" w:styleId="Bezlisty11">
    <w:name w:val="Bez listy11"/>
    <w:next w:val="Bezlisty"/>
    <w:uiPriority w:val="99"/>
    <w:semiHidden/>
    <w:unhideWhenUsed/>
    <w:rsid w:val="00D61281"/>
  </w:style>
  <w:style w:type="paragraph" w:customStyle="1" w:styleId="Bezodstpw1">
    <w:name w:val="Bez odstępów1"/>
    <w:rsid w:val="00D61281"/>
    <w:rPr>
      <w:rFonts w:ascii="Calibri" w:eastAsia="Times New Roman" w:hAnsi="Calibri"/>
    </w:rPr>
  </w:style>
  <w:style w:type="numbering" w:customStyle="1" w:styleId="Bezlisty111">
    <w:name w:val="Bez listy111"/>
    <w:next w:val="Bezlisty"/>
    <w:uiPriority w:val="99"/>
    <w:semiHidden/>
    <w:unhideWhenUsed/>
    <w:rsid w:val="00D6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16</Pages>
  <Words>5460</Words>
  <Characters>32760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Emilia Konopińska-Nochowicz</cp:lastModifiedBy>
  <cp:revision>25</cp:revision>
  <cp:lastPrinted>2019-08-20T08:23:00Z</cp:lastPrinted>
  <dcterms:created xsi:type="dcterms:W3CDTF">2019-08-20T07:13:00Z</dcterms:created>
  <dcterms:modified xsi:type="dcterms:W3CDTF">2019-09-03T09:05:00Z</dcterms:modified>
</cp:coreProperties>
</file>